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涂一配电室及燃爆区域增加自动灭火装置</w:t>
      </w:r>
      <w:r>
        <w:rPr>
          <w:rFonts w:hint="eastAsia" w:ascii="仿宋_GB2312" w:hAnsi="仿宋_GB2312" w:eastAsia="仿宋_GB2312" w:cs="仿宋_GB2312"/>
          <w:b/>
          <w:bCs/>
          <w:color w:val="000000"/>
          <w:spacing w:val="-8"/>
          <w:sz w:val="48"/>
          <w:szCs w:val="48"/>
          <w:lang w:val="en-US" w:eastAsia="zh-CN"/>
        </w:rPr>
        <w:t>招标</w:t>
      </w:r>
      <w:r>
        <w:rPr>
          <w:rFonts w:hint="eastAsia" w:ascii="仿宋_GB2312" w:hAnsi="仿宋_GB2312" w:eastAsia="仿宋_GB2312" w:cs="仿宋_GB2312"/>
          <w:b/>
          <w:bCs/>
          <w:color w:val="000000"/>
          <w:spacing w:val="-8"/>
          <w:sz w:val="48"/>
          <w:szCs w:val="48"/>
        </w:rPr>
        <w:t>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bookmarkStart w:id="138" w:name="_GoBack"/>
      <w:bookmarkEnd w:id="138"/>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23693"/>
      <w:bookmarkStart w:id="1" w:name="_Toc29994"/>
      <w:bookmarkStart w:id="2" w:name="_Toc15480"/>
      <w:bookmarkStart w:id="3" w:name="_Toc5202"/>
      <w:bookmarkStart w:id="4" w:name="_Toc2224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项目名称：涂一配电室及燃爆区域增加自动灭火装置</w:t>
            </w:r>
            <w:r>
              <w:rPr>
                <w:rFonts w:hint="eastAsia" w:ascii="仿宋_GB2312" w:hAnsi="仿宋_GB2312" w:eastAsia="仿宋_GB2312" w:cs="仿宋_GB2312"/>
                <w:b/>
                <w:bCs/>
                <w:sz w:val="24"/>
                <w:szCs w:val="24"/>
                <w:lang w:val="en-US" w:eastAsia="zh-CN"/>
              </w:rPr>
              <w:t>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项目编号：FSCZB2025100161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济南商用车制造公司涂装一车间依据《建筑设计防火规范》GB50016-2014相关标准要求调漆间、车间配电室、VOC配电室、南北天然气控制室、电泳加料室、发电机室缺少泄压口；VOC配电室、电泳加料室、发电机室应设置气体灭火装系统，在发生电气火灾时及时有效控制及扑灭火灾；调漆间三个防爆风机与可燃气体探测器缺少联锁及室外开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1"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招标人名称：中国重汽集团济南商用车有限公司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招标人地址：山东省章丘市圣井潘王路西</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袁凤强</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13793135598</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邮箱：yuanfengqiang@sinotruk.com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20.85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int="eastAsia" w:ascii="仿宋_GB2312" w:hAnsi="仿宋_GB2312" w:eastAsia="仿宋_GB2312" w:cs="仿宋_GB2312"/>
                <w:color w:val="000000"/>
                <w:sz w:val="24"/>
                <w:szCs w:val="24"/>
              </w:rPr>
            </w:pPr>
            <w:bookmarkStart w:id="7" w:name="_Toc28027"/>
            <w:bookmarkStart w:id="8" w:name="_Toc18311"/>
            <w:r>
              <w:rPr>
                <w:rFonts w:hint="eastAsia" w:ascii="仿宋_GB2312" w:hAnsi="仿宋_GB2312" w:eastAsia="仿宋_GB2312" w:cs="仿宋_GB2312"/>
                <w:color w:val="000000"/>
                <w:sz w:val="24"/>
                <w:szCs w:val="24"/>
              </w:rPr>
              <w:t>1.1项目施工方营业执照经营范围应满足招标项目要求，具备项目实施内容相关资质并提供近三年相关的成功案例和相关业绩证明，需要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投标人须遵守《中华人民共和国招标投标法》、《中华人民共和国民法典》及其它有关的法律和法规；为中华人民共和国境内注册的独立法人机构，具有独立承担民事责任能力；</w:t>
            </w:r>
            <w:bookmarkEnd w:id="7"/>
            <w:bookmarkEnd w:id="8"/>
          </w:p>
          <w:p>
            <w:pPr>
              <w:pStyle w:val="22"/>
              <w:ind w:firstLine="480" w:firstLineChars="200"/>
              <w:rPr>
                <w:rFonts w:hint="eastAsia" w:ascii="仿宋_GB2312" w:hAnsi="仿宋_GB2312" w:eastAsia="仿宋_GB2312" w:cs="仿宋_GB2312"/>
                <w:color w:val="000000"/>
                <w:sz w:val="24"/>
                <w:szCs w:val="24"/>
              </w:rPr>
            </w:pPr>
            <w:bookmarkStart w:id="9" w:name="_Toc27035"/>
            <w:bookmarkStart w:id="10" w:name="_Toc23593"/>
            <w:r>
              <w:rPr>
                <w:rFonts w:hint="eastAsia" w:ascii="仿宋_GB2312" w:hAnsi="仿宋_GB2312" w:eastAsia="仿宋_GB2312" w:cs="仿宋_GB2312"/>
                <w:color w:val="000000"/>
                <w:sz w:val="24"/>
                <w:szCs w:val="24"/>
              </w:rPr>
              <w:t>1.2企业最近半年完税证明、信用证明材料（征信报告）；</w:t>
            </w:r>
            <w:bookmarkEnd w:id="9"/>
            <w:bookmarkEnd w:id="10"/>
            <w:r>
              <w:rPr>
                <w:rFonts w:hint="eastAsia" w:ascii="仿宋_GB2312" w:hAnsi="仿宋_GB2312" w:eastAsia="仿宋_GB2312" w:cs="仿宋_GB2312"/>
                <w:color w:val="000000"/>
                <w:sz w:val="24"/>
                <w:szCs w:val="24"/>
              </w:rPr>
              <w:t xml:space="preserve"> </w:t>
            </w:r>
          </w:p>
          <w:p>
            <w:pPr>
              <w:pStyle w:val="22"/>
              <w:ind w:firstLine="480" w:firstLineChars="200"/>
              <w:rPr>
                <w:rFonts w:hint="eastAsia" w:ascii="仿宋_GB2312" w:hAnsi="仿宋_GB2312" w:eastAsia="仿宋_GB2312" w:cs="仿宋_GB2312"/>
                <w:color w:val="000000"/>
                <w:sz w:val="24"/>
                <w:szCs w:val="24"/>
              </w:rPr>
            </w:pPr>
            <w:bookmarkStart w:id="11" w:name="_Toc11590"/>
            <w:bookmarkStart w:id="12" w:name="_Toc15076"/>
            <w:r>
              <w:rPr>
                <w:rFonts w:hint="eastAsia" w:ascii="仿宋_GB2312" w:hAnsi="仿宋_GB2312" w:eastAsia="仿宋_GB2312" w:cs="仿宋_GB2312"/>
                <w:color w:val="000000"/>
                <w:sz w:val="24"/>
                <w:szCs w:val="24"/>
              </w:rPr>
              <w:t>1.3年度纳税信用评价信息（可从电子税务局查询截图，需加盖公章）；</w:t>
            </w:r>
            <w:bookmarkEnd w:id="11"/>
            <w:bookmarkEnd w:id="12"/>
            <w:r>
              <w:rPr>
                <w:rFonts w:hint="eastAsia" w:ascii="仿宋_GB2312" w:hAnsi="仿宋_GB2312" w:eastAsia="仿宋_GB2312" w:cs="仿宋_GB2312"/>
                <w:color w:val="000000"/>
                <w:sz w:val="24"/>
                <w:szCs w:val="24"/>
              </w:rPr>
              <w:t xml:space="preserve"> </w:t>
            </w:r>
          </w:p>
          <w:p>
            <w:pPr>
              <w:pStyle w:val="22"/>
              <w:ind w:firstLine="480" w:firstLineChars="200"/>
              <w:rPr>
                <w:rFonts w:hint="eastAsia" w:ascii="仿宋_GB2312" w:hAnsi="仿宋_GB2312" w:eastAsia="仿宋_GB2312" w:cs="仿宋_GB2312"/>
                <w:color w:val="000000"/>
                <w:sz w:val="24"/>
                <w:szCs w:val="24"/>
              </w:rPr>
            </w:pPr>
            <w:bookmarkStart w:id="13" w:name="_Toc20670"/>
            <w:bookmarkStart w:id="14" w:name="_Toc24469"/>
            <w:r>
              <w:rPr>
                <w:rFonts w:hint="eastAsia" w:ascii="仿宋_GB2312" w:hAnsi="仿宋_GB2312" w:eastAsia="仿宋_GB2312" w:cs="仿宋_GB2312"/>
                <w:color w:val="000000"/>
                <w:sz w:val="24"/>
                <w:szCs w:val="24"/>
              </w:rPr>
              <w:t>1.4企业对外担保说明（写明贵单位对外有无对外担保和质押业务，需加盖公章）</w:t>
            </w:r>
            <w:bookmarkEnd w:id="13"/>
            <w:bookmarkEnd w:id="14"/>
          </w:p>
          <w:p>
            <w:pPr>
              <w:pStyle w:val="22"/>
              <w:ind w:firstLine="480" w:firstLineChars="200"/>
              <w:rPr>
                <w:rFonts w:hint="eastAsia" w:ascii="仿宋_GB2312" w:hAnsi="仿宋_GB2312" w:eastAsia="仿宋_GB2312" w:cs="仿宋_GB2312"/>
                <w:color w:val="000000"/>
                <w:sz w:val="24"/>
                <w:szCs w:val="24"/>
              </w:rPr>
            </w:pPr>
            <w:bookmarkStart w:id="15" w:name="_Toc8294"/>
            <w:r>
              <w:rPr>
                <w:rFonts w:hint="eastAsia" w:ascii="仿宋_GB2312" w:hAnsi="仿宋_GB2312" w:eastAsia="仿宋_GB2312" w:cs="仿宋_GB2312"/>
                <w:color w:val="000000"/>
                <w:sz w:val="24"/>
                <w:szCs w:val="24"/>
              </w:rPr>
              <w:t>1.5公司成立三年以上，注册资金不能少于500万</w:t>
            </w:r>
            <w:r>
              <w:rPr>
                <w:rFonts w:hint="eastAsia" w:ascii="仿宋_GB2312" w:hAnsi="仿宋_GB2312" w:eastAsia="仿宋_GB2312" w:cs="仿宋_GB2312"/>
                <w:color w:val="000000"/>
                <w:sz w:val="24"/>
                <w:szCs w:val="24"/>
                <w:lang w:val="en-US" w:eastAsia="zh-CN"/>
              </w:rPr>
              <w:t>或大于标的额</w:t>
            </w:r>
            <w:r>
              <w:rPr>
                <w:rFonts w:hint="eastAsia" w:ascii="仿宋_GB2312" w:hAnsi="仿宋_GB2312" w:eastAsia="仿宋_GB2312" w:cs="仿宋_GB2312"/>
                <w:color w:val="000000"/>
                <w:sz w:val="24"/>
                <w:szCs w:val="24"/>
              </w:rPr>
              <w:t>；（含三年，以注册日期开始计算，至开标之日不少于三年）</w:t>
            </w:r>
            <w:bookmarkEnd w:id="15"/>
          </w:p>
          <w:p>
            <w:pPr>
              <w:pStyle w:val="22"/>
              <w:ind w:firstLine="480" w:firstLineChars="200"/>
              <w:rPr>
                <w:rFonts w:hint="eastAsia" w:ascii="仿宋_GB2312" w:hAnsi="仿宋_GB2312" w:eastAsia="仿宋_GB2312" w:cs="仿宋_GB2312"/>
                <w:color w:val="000000"/>
                <w:sz w:val="24"/>
                <w:szCs w:val="24"/>
              </w:rPr>
            </w:pPr>
            <w:bookmarkStart w:id="16" w:name="_Toc10149"/>
            <w:bookmarkStart w:id="17" w:name="_Toc16655"/>
            <w:r>
              <w:rPr>
                <w:rFonts w:hint="eastAsia" w:ascii="仿宋_GB2312" w:hAnsi="仿宋_GB2312" w:eastAsia="仿宋_GB2312" w:cs="仿宋_GB2312"/>
                <w:color w:val="000000"/>
                <w:sz w:val="24"/>
                <w:szCs w:val="24"/>
              </w:rPr>
              <w:t>1.6投标人须提供具有统一社会信用代码的新版营业执照副本复印件（加盖公章）；</w:t>
            </w:r>
            <w:bookmarkEnd w:id="16"/>
            <w:bookmarkEnd w:id="17"/>
          </w:p>
          <w:p>
            <w:pPr>
              <w:pStyle w:val="22"/>
              <w:ind w:firstLine="480" w:firstLineChars="200"/>
              <w:rPr>
                <w:rFonts w:hint="eastAsia" w:ascii="仿宋_GB2312" w:hAnsi="仿宋_GB2312" w:eastAsia="仿宋_GB2312" w:cs="仿宋_GB2312"/>
                <w:color w:val="000000"/>
                <w:sz w:val="24"/>
                <w:szCs w:val="24"/>
              </w:rPr>
            </w:pPr>
            <w:bookmarkStart w:id="18" w:name="_Toc5980"/>
            <w:bookmarkStart w:id="19" w:name="_Toc515"/>
            <w:r>
              <w:rPr>
                <w:rFonts w:hint="eastAsia" w:ascii="仿宋_GB2312" w:hAnsi="仿宋_GB2312" w:eastAsia="仿宋_GB2312" w:cs="仿宋_GB2312"/>
                <w:color w:val="000000"/>
                <w:sz w:val="24"/>
                <w:szCs w:val="24"/>
              </w:rPr>
              <w:t>1.7具有健全的财务会计制度，财务状况和市场行为良好。在“国家企业信用信息公示系统”、“中国执行信息公开网”、“信用中国”、“天眼查”“裁判文书网”等信息平台中，无行政处罚及失信记录等信息；</w:t>
            </w:r>
            <w:bookmarkEnd w:id="18"/>
            <w:bookmarkEnd w:id="19"/>
            <w:r>
              <w:rPr>
                <w:rFonts w:hint="eastAsia" w:ascii="仿宋_GB2312" w:hAnsi="仿宋_GB2312" w:eastAsia="仿宋_GB2312" w:cs="仿宋_GB2312"/>
                <w:color w:val="000000"/>
                <w:sz w:val="24"/>
                <w:szCs w:val="24"/>
              </w:rPr>
              <w:t xml:space="preserve"> </w:t>
            </w:r>
          </w:p>
          <w:p>
            <w:pPr>
              <w:pStyle w:val="22"/>
              <w:ind w:firstLine="480" w:firstLineChars="200"/>
              <w:rPr>
                <w:rFonts w:hint="eastAsia" w:ascii="仿宋_GB2312" w:hAnsi="仿宋_GB2312" w:eastAsia="仿宋_GB2312" w:cs="仿宋_GB2312"/>
                <w:color w:val="000000"/>
                <w:sz w:val="24"/>
                <w:szCs w:val="24"/>
              </w:rPr>
            </w:pPr>
            <w:bookmarkStart w:id="20" w:name="_Toc30233"/>
            <w:bookmarkStart w:id="21" w:name="_Toc31496"/>
            <w:r>
              <w:rPr>
                <w:rFonts w:hint="eastAsia" w:ascii="仿宋_GB2312" w:hAnsi="仿宋_GB2312" w:eastAsia="仿宋_GB2312" w:cs="仿宋_GB2312"/>
                <w:color w:val="000000"/>
                <w:sz w:val="24"/>
                <w:szCs w:val="24"/>
              </w:rPr>
              <w:t>1.8满足技术、质量、资金等要求，财务状况良好、经营稳定，具有全面履约的能力，能提供相关信用等级和完税证明；</w:t>
            </w:r>
            <w:bookmarkEnd w:id="20"/>
            <w:bookmarkEnd w:id="21"/>
          </w:p>
          <w:p>
            <w:pPr>
              <w:pStyle w:val="22"/>
              <w:ind w:firstLine="480" w:firstLineChars="200"/>
              <w:rPr>
                <w:rFonts w:hint="eastAsia" w:ascii="仿宋_GB2312" w:hAnsi="仿宋_GB2312" w:eastAsia="仿宋_GB2312" w:cs="仿宋_GB2312"/>
                <w:color w:val="000000"/>
                <w:sz w:val="24"/>
                <w:szCs w:val="24"/>
              </w:rPr>
            </w:pPr>
            <w:bookmarkStart w:id="22" w:name="_Toc11856"/>
            <w:bookmarkStart w:id="23" w:name="_Toc27687"/>
            <w:r>
              <w:rPr>
                <w:rFonts w:hint="eastAsia" w:ascii="仿宋_GB2312" w:hAnsi="仿宋_GB2312" w:eastAsia="仿宋_GB2312" w:cs="仿宋_GB2312"/>
                <w:color w:val="000000"/>
                <w:sz w:val="24"/>
                <w:szCs w:val="24"/>
              </w:rPr>
              <w:t>1.9投标人之间必须具有充分的竞争关系；</w:t>
            </w:r>
            <w:bookmarkEnd w:id="22"/>
            <w:bookmarkEnd w:id="23"/>
          </w:p>
          <w:p>
            <w:pPr>
              <w:pStyle w:val="22"/>
              <w:ind w:firstLine="480" w:firstLineChars="200"/>
              <w:rPr>
                <w:rFonts w:hint="eastAsia" w:ascii="仿宋_GB2312" w:hAnsi="仿宋_GB2312" w:eastAsia="仿宋_GB2312" w:cs="仿宋_GB2312"/>
                <w:color w:val="000000"/>
                <w:sz w:val="24"/>
                <w:szCs w:val="24"/>
              </w:rPr>
            </w:pPr>
            <w:bookmarkStart w:id="24" w:name="_Toc28065"/>
            <w:bookmarkStart w:id="25" w:name="_Toc21861"/>
            <w:r>
              <w:rPr>
                <w:rFonts w:hint="eastAsia" w:ascii="仿宋_GB2312" w:hAnsi="仿宋_GB2312" w:eastAsia="仿宋_GB2312" w:cs="仿宋_GB2312"/>
                <w:color w:val="000000"/>
                <w:sz w:val="24"/>
                <w:szCs w:val="24"/>
              </w:rPr>
              <w:t>1.10无招标违规、谎报年度报告信息、提供虚假资质资料等行为或其他行政处罚记录</w:t>
            </w:r>
            <w:r>
              <w:rPr>
                <w:rFonts w:hint="eastAsia" w:ascii="仿宋_GB2312" w:hAnsi="仿宋_GB2312" w:eastAsia="仿宋_GB2312" w:cs="仿宋_GB2312"/>
                <w:color w:val="000000"/>
                <w:sz w:val="24"/>
                <w:szCs w:val="24"/>
                <w:lang w:val="en-US" w:eastAsia="zh-CN"/>
              </w:rPr>
              <w:t>的声明</w:t>
            </w:r>
            <w:r>
              <w:rPr>
                <w:rFonts w:hint="eastAsia" w:ascii="仿宋_GB2312" w:hAnsi="仿宋_GB2312" w:eastAsia="仿宋_GB2312" w:cs="仿宋_GB2312"/>
                <w:color w:val="000000"/>
                <w:sz w:val="24"/>
                <w:szCs w:val="24"/>
              </w:rPr>
              <w:t>；</w:t>
            </w:r>
            <w:bookmarkEnd w:id="24"/>
            <w:bookmarkEnd w:id="25"/>
            <w:r>
              <w:rPr>
                <w:rFonts w:hint="eastAsia" w:ascii="仿宋_GB2312" w:hAnsi="仿宋_GB2312" w:eastAsia="仿宋_GB2312" w:cs="仿宋_GB2312"/>
                <w:color w:val="000000"/>
                <w:sz w:val="24"/>
                <w:szCs w:val="24"/>
              </w:rPr>
              <w:t xml:space="preserve"> </w:t>
            </w:r>
          </w:p>
          <w:p>
            <w:pPr>
              <w:pStyle w:val="22"/>
              <w:ind w:firstLine="480" w:firstLineChars="200"/>
              <w:rPr>
                <w:rFonts w:hint="eastAsia" w:ascii="仿宋_GB2312" w:hAnsi="仿宋_GB2312" w:eastAsia="仿宋_GB2312" w:cs="仿宋_GB2312"/>
                <w:color w:val="000000"/>
                <w:sz w:val="24"/>
                <w:szCs w:val="24"/>
              </w:rPr>
            </w:pPr>
            <w:bookmarkStart w:id="26" w:name="_Toc12020"/>
            <w:bookmarkStart w:id="27" w:name="_Toc2444"/>
            <w:r>
              <w:rPr>
                <w:rFonts w:hint="eastAsia" w:ascii="仿宋_GB2312" w:hAnsi="仿宋_GB2312" w:eastAsia="仿宋_GB2312" w:cs="仿宋_GB2312"/>
                <w:color w:val="000000"/>
                <w:sz w:val="24"/>
                <w:szCs w:val="24"/>
              </w:rPr>
              <w:t>1.11投标人没有被列入招标人处《黑名单》（《黑名单》指投标人与招标人在以往或正在进行的合作中，存在招标人认为的违反合同约定或违反法律法规等的失信行为）的。</w:t>
            </w:r>
            <w:bookmarkEnd w:id="26"/>
            <w:bookmarkEnd w:id="27"/>
          </w:p>
          <w:p>
            <w:pPr>
              <w:pStyle w:val="22"/>
              <w:ind w:firstLine="480" w:firstLineChars="200"/>
              <w:rPr>
                <w:rFonts w:hint="eastAsia" w:ascii="仿宋_GB2312" w:hAnsi="仿宋_GB2312" w:eastAsia="仿宋_GB2312" w:cs="仿宋_GB2312"/>
                <w:color w:val="000000"/>
                <w:sz w:val="24"/>
                <w:szCs w:val="24"/>
              </w:rPr>
            </w:pPr>
            <w:bookmarkStart w:id="28" w:name="_Toc1956"/>
            <w:bookmarkStart w:id="29" w:name="_Toc27726"/>
            <w:r>
              <w:rPr>
                <w:rFonts w:hint="eastAsia" w:ascii="仿宋_GB2312" w:hAnsi="仿宋_GB2312" w:eastAsia="仿宋_GB2312" w:cs="仿宋_GB2312"/>
                <w:color w:val="000000"/>
                <w:sz w:val="24"/>
                <w:szCs w:val="24"/>
              </w:rPr>
              <w:t>1.12供方的直接或间接股东、法定代表人、董事、监事、高管非重汽员工及其亲属。</w:t>
            </w:r>
            <w:bookmarkEnd w:id="28"/>
            <w:bookmarkEnd w:id="29"/>
            <w:r>
              <w:rPr>
                <w:rFonts w:hint="eastAsia" w:ascii="仿宋_GB2312" w:hAnsi="仿宋_GB2312" w:eastAsia="仿宋_GB2312" w:cs="仿宋_GB2312"/>
                <w:color w:val="000000"/>
                <w:sz w:val="24"/>
                <w:szCs w:val="24"/>
              </w:rPr>
              <w:t xml:space="preserve"> </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1.13投标人须提供法人授权委托书复印件及投标单位授权代表的身份证复印件（加盖公章），开标现场核验授权代表身份证原件，授权代表由法人代表本人担任的，仅须提供法人身份证原件。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2025年11月3日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2025年11月15日前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2025年11月15日前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2025年11月8日17：00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2025年11月21日17：00前</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开户名称：中国重汽集团济南商用车有限公司</w:t>
            </w:r>
          </w:p>
          <w:p>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开户银行：中国银行股份有限公司章丘支行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号：226005574527</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联行号：104451040689</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2025年11月21日17：00前</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2025年11月22日9：00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lang w:val="en-US" w:eastAsia="zh-CN"/>
              </w:rPr>
              <w:t>中国重汽集团济南商用车有限公司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b/>
                <w:bCs/>
                <w:color w:val="000000"/>
                <w:sz w:val="24"/>
                <w:szCs w:val="24"/>
                <w:highlight w:val="green"/>
                <w:u w:val="single"/>
                <w:lang w:val="en-US" w:eastAsia="zh-CN"/>
              </w:rPr>
              <w:t xml:space="preserve"> </w:t>
            </w:r>
            <w:r>
              <w:rPr>
                <w:rFonts w:hint="eastAsia" w:ascii="仿宋_GB2312" w:hAnsi="仿宋_GB2312" w:eastAsia="仿宋_GB2312" w:cs="仿宋_GB2312"/>
                <w:color w:val="000000"/>
                <w:sz w:val="24"/>
                <w:szCs w:val="24"/>
                <w:highlight w:val="green"/>
                <w:u w:val="single"/>
              </w:rPr>
              <w:t>：</w:t>
            </w:r>
          </w:p>
          <w:p>
            <w:pPr>
              <w:ind w:firstLine="420" w:firstLineChars="200"/>
              <w:rPr>
                <w:rFonts w:hint="eastAsia" w:hAnsi="宋体" w:cs="宋体"/>
                <w:b/>
                <w:color w:val="000000"/>
                <w:szCs w:val="21"/>
                <w:highlight w:val="none"/>
                <w:u w:val="none"/>
                <w:lang w:val="en-US" w:eastAsia="zh-CN"/>
              </w:rPr>
            </w:pPr>
            <w:r>
              <w:rPr>
                <w:rFonts w:hint="eastAsia" w:hAnsi="宋体" w:cs="宋体"/>
                <w:b/>
                <w:color w:val="000000"/>
                <w:szCs w:val="21"/>
                <w:highlight w:val="none"/>
                <w:u w:val="none"/>
              </w:rPr>
              <w:t>无预付款，项目施工验收</w:t>
            </w:r>
            <w:r>
              <w:rPr>
                <w:rFonts w:hint="eastAsia" w:hAnsi="宋体" w:cs="宋体"/>
                <w:b/>
                <w:color w:val="000000"/>
                <w:szCs w:val="21"/>
                <w:highlight w:val="none"/>
                <w:u w:val="none"/>
                <w:lang w:val="en-US" w:eastAsia="zh-CN"/>
              </w:rPr>
              <w:t>合格</w:t>
            </w:r>
            <w:r>
              <w:rPr>
                <w:rFonts w:hint="eastAsia" w:hAnsi="宋体" w:cs="宋体"/>
                <w:b/>
                <w:color w:val="000000"/>
                <w:szCs w:val="21"/>
                <w:highlight w:val="none"/>
                <w:u w:val="none"/>
              </w:rPr>
              <w:t>付</w:t>
            </w:r>
            <w:r>
              <w:rPr>
                <w:rFonts w:hint="eastAsia" w:hAnsi="宋体" w:cs="宋体"/>
                <w:b/>
                <w:color w:val="000000"/>
                <w:szCs w:val="21"/>
                <w:highlight w:val="none"/>
                <w:u w:val="none"/>
                <w:lang w:val="en-US" w:eastAsia="zh-CN"/>
              </w:rPr>
              <w:t>至合同款的</w:t>
            </w:r>
            <w:r>
              <w:rPr>
                <w:rFonts w:hint="eastAsia" w:hAnsi="宋体" w:cs="宋体"/>
                <w:b/>
                <w:color w:val="000000"/>
                <w:szCs w:val="21"/>
                <w:highlight w:val="none"/>
                <w:u w:val="none"/>
              </w:rPr>
              <w:t>90% ，</w:t>
            </w:r>
            <w:r>
              <w:rPr>
                <w:rFonts w:hint="eastAsia" w:hAnsi="宋体" w:cs="宋体"/>
                <w:b/>
                <w:color w:val="000000"/>
                <w:szCs w:val="21"/>
                <w:highlight w:val="none"/>
                <w:u w:val="none"/>
                <w:lang w:val="en-US" w:eastAsia="zh-CN"/>
              </w:rPr>
              <w:t>合同款的</w:t>
            </w:r>
            <w:r>
              <w:rPr>
                <w:rFonts w:hint="eastAsia" w:hAnsi="宋体" w:cs="宋体"/>
                <w:b/>
                <w:color w:val="000000"/>
                <w:szCs w:val="21"/>
                <w:highlight w:val="none"/>
                <w:u w:val="none"/>
              </w:rPr>
              <w:t>10%</w:t>
            </w:r>
            <w:r>
              <w:rPr>
                <w:rFonts w:hint="eastAsia" w:hAnsi="宋体" w:cs="宋体"/>
                <w:b/>
                <w:color w:val="000000"/>
                <w:szCs w:val="21"/>
                <w:highlight w:val="none"/>
                <w:u w:val="none"/>
                <w:lang w:val="en-US" w:eastAsia="zh-CN"/>
              </w:rPr>
              <w:t>作</w:t>
            </w:r>
            <w:r>
              <w:rPr>
                <w:rFonts w:hint="eastAsia" w:hAnsi="宋体" w:cs="宋体"/>
                <w:b/>
                <w:color w:val="000000"/>
                <w:szCs w:val="21"/>
                <w:highlight w:val="none"/>
                <w:u w:val="none"/>
              </w:rPr>
              <w:t>质保金</w:t>
            </w:r>
            <w:r>
              <w:rPr>
                <w:rFonts w:hint="eastAsia" w:hAnsi="宋体" w:cs="宋体"/>
                <w:b/>
                <w:color w:val="000000"/>
                <w:szCs w:val="21"/>
                <w:highlight w:val="none"/>
                <w:u w:val="none"/>
                <w:lang w:val="en-US" w:eastAsia="zh-CN"/>
              </w:rPr>
              <w:t>押一年</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30" w:name="_Toc19183"/>
      <w:bookmarkStart w:id="31" w:name="_Toc427"/>
      <w:bookmarkStart w:id="32" w:name="_Toc27087"/>
      <w:bookmarkStart w:id="33" w:name="_Toc9448"/>
      <w:bookmarkStart w:id="34" w:name="_Toc6577"/>
      <w:bookmarkStart w:id="35" w:name="_Toc11216"/>
      <w:r>
        <w:rPr>
          <w:rFonts w:hint="eastAsia" w:ascii="仿宋_GB2312" w:hAnsi="仿宋_GB2312" w:eastAsia="仿宋_GB2312" w:cs="仿宋_GB2312"/>
          <w:sz w:val="44"/>
        </w:rPr>
        <w:t>第二部分 投标须知</w:t>
      </w:r>
      <w:bookmarkEnd w:id="30"/>
      <w:bookmarkEnd w:id="31"/>
      <w:bookmarkEnd w:id="32"/>
      <w:bookmarkEnd w:id="33"/>
      <w:bookmarkEnd w:id="34"/>
      <w:bookmarkEnd w:id="35"/>
    </w:p>
    <w:p>
      <w:pPr>
        <w:pStyle w:val="3"/>
        <w:rPr>
          <w:rFonts w:hint="eastAsia" w:ascii="仿宋_GB2312" w:hAnsi="仿宋_GB2312" w:eastAsia="仿宋_GB2312" w:cs="仿宋_GB2312"/>
          <w:sz w:val="36"/>
          <w:szCs w:val="36"/>
        </w:rPr>
      </w:pPr>
      <w:bookmarkStart w:id="36" w:name="_Toc18045"/>
      <w:r>
        <w:rPr>
          <w:rFonts w:hint="eastAsia" w:ascii="仿宋_GB2312" w:hAnsi="仿宋_GB2312" w:eastAsia="仿宋_GB2312" w:cs="仿宋_GB2312"/>
          <w:sz w:val="36"/>
          <w:szCs w:val="36"/>
        </w:rPr>
        <w:t>一、项目名称</w:t>
      </w:r>
      <w:bookmarkEnd w:id="36"/>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37" w:name="OLE_LINK1"/>
      <w:r>
        <w:rPr>
          <w:rFonts w:hint="eastAsia" w:ascii="仿宋_GB2312" w:hAnsi="仿宋_GB2312" w:eastAsia="仿宋_GB2312" w:cs="仿宋_GB2312"/>
          <w:color w:val="000000"/>
          <w:sz w:val="24"/>
          <w:szCs w:val="24"/>
        </w:rPr>
        <w:t>见《投标须知前附表》。</w:t>
      </w:r>
    </w:p>
    <w:bookmarkEnd w:id="37"/>
    <w:p>
      <w:pPr>
        <w:pStyle w:val="3"/>
        <w:rPr>
          <w:rFonts w:hint="eastAsia" w:ascii="仿宋_GB2312" w:hAnsi="仿宋_GB2312" w:eastAsia="仿宋_GB2312" w:cs="仿宋_GB2312"/>
          <w:sz w:val="36"/>
          <w:szCs w:val="36"/>
        </w:rPr>
      </w:pPr>
      <w:bookmarkStart w:id="38" w:name="_Toc30471"/>
      <w:r>
        <w:rPr>
          <w:rFonts w:hint="eastAsia" w:ascii="仿宋_GB2312" w:hAnsi="仿宋_GB2312" w:eastAsia="仿宋_GB2312" w:cs="仿宋_GB2312"/>
          <w:sz w:val="36"/>
          <w:szCs w:val="36"/>
        </w:rPr>
        <w:t>二、招标内容及形式</w:t>
      </w:r>
      <w:bookmarkEnd w:id="38"/>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39" w:name="_Toc24346"/>
      <w:r>
        <w:rPr>
          <w:rFonts w:hint="eastAsia" w:ascii="仿宋_GB2312" w:hAnsi="仿宋_GB2312" w:eastAsia="仿宋_GB2312" w:cs="仿宋_GB2312"/>
          <w:sz w:val="36"/>
          <w:szCs w:val="36"/>
        </w:rPr>
        <w:t>三、交货及付款</w:t>
      </w:r>
      <w:bookmarkEnd w:id="39"/>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40" w:name="_Toc4476"/>
      <w:r>
        <w:rPr>
          <w:rFonts w:hint="eastAsia" w:ascii="仿宋_GB2312" w:hAnsi="仿宋_GB2312" w:eastAsia="仿宋_GB2312" w:cs="仿宋_GB2312"/>
          <w:sz w:val="36"/>
          <w:szCs w:val="36"/>
        </w:rPr>
        <w:t>四、投标说明</w:t>
      </w:r>
      <w:bookmarkEnd w:id="40"/>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41" w:name="_Toc29561"/>
      <w:r>
        <w:rPr>
          <w:rFonts w:hint="eastAsia" w:ascii="仿宋_GB2312" w:hAnsi="仿宋_GB2312" w:eastAsia="仿宋_GB2312" w:cs="仿宋_GB2312"/>
          <w:sz w:val="36"/>
          <w:szCs w:val="36"/>
        </w:rPr>
        <w:t>五、议程安排</w:t>
      </w:r>
      <w:bookmarkEnd w:id="41"/>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42" w:name="_Toc30534"/>
      <w:bookmarkStart w:id="43" w:name="_Toc33265752"/>
      <w:bookmarkStart w:id="44" w:name="_Toc33267001"/>
      <w:bookmarkStart w:id="45" w:name="_Toc33266627"/>
      <w:bookmarkStart w:id="46" w:name="_Toc33266914"/>
      <w:bookmarkStart w:id="47" w:name="_Toc33285487"/>
      <w:bookmarkStart w:id="48" w:name="_Toc33265653"/>
      <w:bookmarkStart w:id="49" w:name="_Toc33266950"/>
      <w:r>
        <w:rPr>
          <w:rFonts w:hint="eastAsia" w:ascii="仿宋_GB2312" w:hAnsi="仿宋_GB2312" w:eastAsia="仿宋_GB2312" w:cs="仿宋_GB2312"/>
          <w:sz w:val="36"/>
          <w:szCs w:val="36"/>
        </w:rPr>
        <w:t>六、评价原则</w:t>
      </w:r>
      <w:bookmarkEnd w:id="42"/>
      <w:bookmarkEnd w:id="43"/>
      <w:bookmarkEnd w:id="44"/>
      <w:bookmarkEnd w:id="45"/>
      <w:bookmarkEnd w:id="46"/>
      <w:bookmarkEnd w:id="47"/>
      <w:bookmarkEnd w:id="48"/>
      <w:bookmarkEnd w:id="49"/>
      <w:bookmarkStart w:id="50" w:name="_Toc395116633"/>
    </w:p>
    <w:bookmarkEnd w:id="50"/>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51" w:name="_Toc33266628"/>
      <w:bookmarkStart w:id="52" w:name="_Toc395116634"/>
      <w:bookmarkStart w:id="53" w:name="_Toc33265753"/>
      <w:bookmarkStart w:id="54" w:name="_Toc33265654"/>
      <w:bookmarkStart w:id="55" w:name="_Toc33285489"/>
      <w:bookmarkStart w:id="56" w:name="_Toc33267002"/>
      <w:bookmarkStart w:id="57" w:name="_Toc33266915"/>
      <w:bookmarkStart w:id="58" w:name="_Toc33266951"/>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51"/>
    <w:bookmarkEnd w:id="52"/>
    <w:bookmarkEnd w:id="53"/>
    <w:bookmarkEnd w:id="54"/>
    <w:bookmarkEnd w:id="55"/>
    <w:bookmarkEnd w:id="56"/>
    <w:bookmarkEnd w:id="57"/>
    <w:bookmarkEnd w:id="58"/>
    <w:p>
      <w:pPr>
        <w:spacing w:line="360" w:lineRule="auto"/>
        <w:ind w:firstLine="482" w:firstLineChars="200"/>
        <w:rPr>
          <w:rFonts w:hint="eastAsia" w:ascii="仿宋_GB2312" w:hAnsi="仿宋_GB2312" w:eastAsia="仿宋_GB2312" w:cs="仿宋_GB2312"/>
          <w:b/>
          <w:color w:val="000000"/>
          <w:sz w:val="24"/>
          <w:szCs w:val="24"/>
        </w:rPr>
      </w:pPr>
      <w:bookmarkStart w:id="59"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59"/>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60" w:name="_Toc15650"/>
      <w:r>
        <w:rPr>
          <w:rFonts w:hint="eastAsia" w:ascii="仿宋_GB2312" w:hAnsi="仿宋_GB2312" w:eastAsia="仿宋_GB2312" w:cs="仿宋_GB2312"/>
          <w:sz w:val="36"/>
          <w:szCs w:val="36"/>
        </w:rPr>
        <w:t>八、废标及终止招标</w:t>
      </w:r>
      <w:bookmarkEnd w:id="60"/>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61" w:name="OLE_LINK26"/>
      <w:bookmarkStart w:id="62" w:name="OLE_LINK28"/>
      <w:bookmarkStart w:id="63" w:name="OLE_LINK27"/>
      <w:bookmarkStart w:id="64" w:name="OLE_LINK29"/>
      <w:bookmarkStart w:id="65" w:name="OLE_LINK25"/>
      <w:r>
        <w:rPr>
          <w:rFonts w:hint="eastAsia" w:ascii="仿宋_GB2312" w:hAnsi="仿宋_GB2312" w:eastAsia="仿宋_GB2312" w:cs="仿宋_GB2312"/>
          <w:bCs/>
          <w:sz w:val="24"/>
          <w:szCs w:val="24"/>
        </w:rPr>
        <w:t>；</w:t>
      </w:r>
      <w:bookmarkEnd w:id="61"/>
      <w:bookmarkEnd w:id="62"/>
      <w:bookmarkEnd w:id="63"/>
      <w:bookmarkEnd w:id="64"/>
      <w:bookmarkEnd w:id="65"/>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66" w:name="_Toc14012"/>
      <w:r>
        <w:rPr>
          <w:rFonts w:hint="eastAsia" w:ascii="仿宋_GB2312" w:hAnsi="仿宋_GB2312" w:eastAsia="仿宋_GB2312" w:cs="仿宋_GB2312"/>
          <w:sz w:val="36"/>
          <w:szCs w:val="36"/>
        </w:rPr>
        <w:t>九、本次招标最终解释权归中国重汽集团济南动力有限公司。</w:t>
      </w:r>
      <w:bookmarkEnd w:id="66"/>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67" w:name="_Toc21022"/>
      <w:bookmarkStart w:id="68" w:name="_Toc31869"/>
      <w:bookmarkStart w:id="69" w:name="_Toc13479"/>
      <w:bookmarkStart w:id="70" w:name="_Toc762"/>
      <w:bookmarkStart w:id="71" w:name="_Toc2363"/>
      <w:bookmarkStart w:id="72" w:name="_Toc13002"/>
      <w:r>
        <w:rPr>
          <w:rFonts w:hint="eastAsia" w:ascii="仿宋_GB2312" w:hAnsi="仿宋_GB2312" w:eastAsia="仿宋_GB2312" w:cs="仿宋_GB2312"/>
          <w:sz w:val="44"/>
        </w:rPr>
        <w:t>第三部分 投标文件编制</w:t>
      </w:r>
      <w:bookmarkEnd w:id="67"/>
      <w:bookmarkEnd w:id="68"/>
      <w:bookmarkEnd w:id="69"/>
      <w:bookmarkEnd w:id="70"/>
      <w:bookmarkEnd w:id="71"/>
      <w:bookmarkEnd w:id="72"/>
    </w:p>
    <w:p>
      <w:pPr>
        <w:pStyle w:val="3"/>
        <w:rPr>
          <w:rFonts w:hint="eastAsia" w:ascii="仿宋_GB2312" w:hAnsi="仿宋_GB2312" w:eastAsia="仿宋_GB2312" w:cs="仿宋_GB2312"/>
          <w:sz w:val="36"/>
          <w:szCs w:val="36"/>
        </w:rPr>
      </w:pPr>
      <w:bookmarkStart w:id="73" w:name="_Toc2771"/>
      <w:r>
        <w:rPr>
          <w:rFonts w:hint="eastAsia" w:ascii="仿宋_GB2312" w:hAnsi="仿宋_GB2312" w:eastAsia="仿宋_GB2312" w:cs="仿宋_GB2312"/>
          <w:sz w:val="36"/>
          <w:szCs w:val="36"/>
        </w:rPr>
        <w:t>一、投标文件的编制</w:t>
      </w:r>
      <w:bookmarkEnd w:id="73"/>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74" w:name="_Toc5592"/>
      <w:r>
        <w:rPr>
          <w:rFonts w:hint="eastAsia" w:ascii="仿宋_GB2312" w:hAnsi="仿宋_GB2312" w:eastAsia="仿宋_GB2312" w:cs="仿宋_GB2312"/>
          <w:sz w:val="36"/>
          <w:szCs w:val="36"/>
        </w:rPr>
        <w:t>二、投标文件资料</w:t>
      </w:r>
      <w:bookmarkEnd w:id="74"/>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75" w:name="_Toc5199"/>
      <w:r>
        <w:rPr>
          <w:rFonts w:hint="eastAsia" w:ascii="仿宋_GB2312" w:hAnsi="仿宋_GB2312" w:eastAsia="仿宋_GB2312" w:cs="仿宋_GB2312"/>
          <w:sz w:val="36"/>
          <w:szCs w:val="36"/>
        </w:rPr>
        <w:t>三、投标文件的组成</w:t>
      </w:r>
      <w:bookmarkEnd w:id="75"/>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76"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76"/>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2.6施工组织设计、施工方案及施工进度计划；</w:t>
      </w:r>
    </w:p>
    <w:p>
      <w:pPr>
        <w:spacing w:line="360" w:lineRule="auto"/>
        <w:ind w:firstLine="480" w:firstLineChars="200"/>
        <w:rPr>
          <w:rFonts w:hint="eastAsia" w:ascii="仿宋_GB2312" w:hAnsi="仿宋_GB2312" w:eastAsia="仿宋_GB2312" w:cs="仿宋_GB2312"/>
          <w:color w:val="000000"/>
          <w:sz w:val="24"/>
          <w:szCs w:val="24"/>
        </w:rPr>
      </w:pPr>
      <w:bookmarkStart w:id="77" w:name="_Toc536542319"/>
      <w:r>
        <w:rPr>
          <w:rFonts w:hint="eastAsia" w:ascii="仿宋_GB2312" w:hAnsi="仿宋_GB2312" w:eastAsia="仿宋_GB2312" w:cs="仿宋_GB2312"/>
          <w:color w:val="000000"/>
          <w:sz w:val="24"/>
          <w:szCs w:val="24"/>
        </w:rPr>
        <w:t>2.7投标产品技术支持材料</w:t>
      </w:r>
      <w:bookmarkEnd w:id="77"/>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注：技术规格偏离表可做正偏离，但不允许有低于本招标文件相关要求的情况出现，否则视为主动放弃本项目投标。</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78" w:name="OLE_LINK18"/>
      <w:bookmarkStart w:id="79" w:name="OLE_LINK19"/>
      <w:r>
        <w:rPr>
          <w:rFonts w:hint="eastAsia" w:ascii="仿宋_GB2312" w:hAnsi="仿宋_GB2312" w:eastAsia="仿宋_GB2312" w:cs="仿宋_GB2312"/>
          <w:b/>
          <w:color w:val="000000"/>
          <w:sz w:val="24"/>
          <w:szCs w:val="24"/>
        </w:rPr>
        <w:t>；</w:t>
      </w:r>
      <w:bookmarkEnd w:id="78"/>
      <w:bookmarkEnd w:id="79"/>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pStyle w:val="3"/>
        <w:rPr>
          <w:rFonts w:hint="eastAsia" w:ascii="仿宋_GB2312" w:hAnsi="仿宋_GB2312" w:eastAsia="仿宋_GB2312" w:cs="仿宋_GB2312"/>
          <w:sz w:val="36"/>
          <w:szCs w:val="36"/>
        </w:rPr>
      </w:pPr>
      <w:bookmarkStart w:id="80" w:name="_Toc15748"/>
      <w:r>
        <w:rPr>
          <w:rFonts w:hint="eastAsia" w:ascii="仿宋_GB2312" w:hAnsi="仿宋_GB2312" w:eastAsia="仿宋_GB2312" w:cs="仿宋_GB2312"/>
          <w:sz w:val="36"/>
          <w:szCs w:val="36"/>
        </w:rPr>
        <w:t>四、投标文件格式</w:t>
      </w:r>
      <w:bookmarkEnd w:id="8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81" w:name="_Toc6957"/>
      <w:bookmarkStart w:id="82" w:name="_Toc13562"/>
      <w:bookmarkStart w:id="83" w:name="_Toc13555"/>
      <w:bookmarkStart w:id="84" w:name="_Toc13605"/>
      <w:bookmarkStart w:id="85" w:name="_Toc7110"/>
      <w:bookmarkStart w:id="86" w:name="_Toc18182"/>
      <w:bookmarkStart w:id="87" w:name="_Toc1884"/>
      <w:bookmarkStart w:id="88" w:name="_Toc4483"/>
      <w:bookmarkStart w:id="89" w:name="_Toc14517"/>
      <w:bookmarkStart w:id="90" w:name="_Toc12552"/>
      <w:bookmarkStart w:id="91" w:name="_Toc32378"/>
      <w:bookmarkStart w:id="92" w:name="_Toc16358"/>
      <w:bookmarkStart w:id="93" w:name="_Toc4194"/>
      <w:bookmarkStart w:id="94" w:name="_Toc21497"/>
      <w:bookmarkStart w:id="95" w:name="_Toc28236"/>
      <w:bookmarkStart w:id="96" w:name="_Toc4029"/>
      <w:bookmarkStart w:id="97" w:name="_Toc12714"/>
      <w:bookmarkStart w:id="98" w:name="_Toc22649"/>
      <w:bookmarkStart w:id="99" w:name="_Toc6346"/>
      <w:bookmarkStart w:id="100" w:name="_Toc4532"/>
      <w:bookmarkStart w:id="101" w:name="_Toc23870"/>
      <w:bookmarkStart w:id="102" w:name="_Toc18606"/>
      <w:bookmarkStart w:id="103" w:name="_Toc18805"/>
      <w:bookmarkStart w:id="104" w:name="_Toc7511"/>
      <w:bookmarkStart w:id="105" w:name="_Toc8032"/>
      <w:bookmarkStart w:id="106" w:name="_Toc24913"/>
      <w:bookmarkStart w:id="107" w:name="_Toc8202"/>
      <w:bookmarkStart w:id="108" w:name="_Toc3565"/>
      <w:bookmarkStart w:id="109" w:name="_Toc11355"/>
      <w:bookmarkStart w:id="110" w:name="_Toc3372"/>
      <w:bookmarkStart w:id="111" w:name="_Toc19672"/>
      <w:bookmarkStart w:id="112" w:name="_Toc133783966"/>
      <w:bookmarkStart w:id="113" w:name="_Toc20272"/>
      <w:bookmarkStart w:id="114" w:name="_Toc30738"/>
      <w:bookmarkStart w:id="115" w:name="_Toc24964"/>
      <w:bookmarkStart w:id="116" w:name="_Toc12563"/>
      <w:bookmarkStart w:id="117" w:name="_Toc20467"/>
      <w:bookmarkStart w:id="118" w:name="_Toc13988"/>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119" w:name="_Toc10008"/>
      <w:r>
        <w:rPr>
          <w:rFonts w:hint="eastAsia" w:ascii="仿宋_GB2312" w:hAnsi="仿宋_GB2312" w:eastAsia="仿宋_GB2312" w:cs="仿宋_GB2312"/>
          <w:sz w:val="44"/>
          <w:highlight w:val="green"/>
        </w:rPr>
        <w:t>技术标书</w:t>
      </w:r>
      <w:bookmarkEnd w:id="119"/>
    </w:p>
    <w:p>
      <w:pPr>
        <w:pStyle w:val="22"/>
      </w:pPr>
    </w:p>
    <w:p>
      <w:pPr>
        <w:sectPr>
          <w:headerReference r:id="rId8" w:type="default"/>
          <w:footerReference r:id="rId9" w:type="default"/>
          <w:pgSz w:w="11907" w:h="16840"/>
          <w:pgMar w:top="1304" w:right="1418" w:bottom="1304" w:left="1418" w:header="724" w:footer="851" w:gutter="0"/>
          <w:cols w:space="720" w:num="1"/>
          <w:docGrid w:linePitch="290" w:charSpace="-3931"/>
        </w:sectPr>
      </w:pPr>
    </w:p>
    <w:p>
      <w:pPr>
        <w:jc w:val="left"/>
        <w:outlineLvl w:val="1"/>
        <w:rPr>
          <w:rFonts w:hint="eastAsia" w:ascii="宋体" w:hAnsi="宋体" w:cs="宋体"/>
          <w:b/>
          <w:bCs/>
          <w:sz w:val="21"/>
          <w:szCs w:val="21"/>
        </w:rPr>
      </w:pPr>
      <w:bookmarkStart w:id="120" w:name="_Toc6504"/>
      <w:bookmarkStart w:id="121" w:name="_Toc20736"/>
      <w:bookmarkStart w:id="122" w:name="_Toc28981"/>
      <w:bookmarkStart w:id="123" w:name="_Toc22440"/>
      <w:r>
        <w:rPr>
          <w:rFonts w:hint="eastAsia" w:ascii="宋体" w:hAnsi="宋体" w:cs="宋体"/>
          <w:b/>
          <w:bCs/>
          <w:sz w:val="21"/>
          <w:szCs w:val="21"/>
        </w:rPr>
        <w:t>一、项目名称</w:t>
      </w:r>
      <w:bookmarkEnd w:id="120"/>
      <w:bookmarkEnd w:id="121"/>
      <w:bookmarkEnd w:id="122"/>
      <w:bookmarkEnd w:id="123"/>
    </w:p>
    <w:p>
      <w:pPr>
        <w:spacing w:line="420" w:lineRule="exact"/>
        <w:ind w:firstLine="420" w:firstLineChars="200"/>
        <w:jc w:val="left"/>
        <w:rPr>
          <w:rFonts w:hint="default" w:ascii="宋体" w:hAnsi="宋体" w:eastAsia="宋体" w:cs="Times New Roman"/>
          <w:szCs w:val="21"/>
          <w:lang w:val="en-US" w:eastAsia="zh-CN"/>
        </w:rPr>
      </w:pPr>
      <w:r>
        <w:rPr>
          <w:rFonts w:hint="eastAsia" w:ascii="宋体" w:hAnsi="宋体"/>
          <w:sz w:val="21"/>
          <w:szCs w:val="21"/>
        </w:rPr>
        <w:t>项目名称：</w:t>
      </w:r>
      <w:r>
        <w:rPr>
          <w:rFonts w:hint="eastAsia" w:ascii="宋体" w:hAnsi="宋体"/>
          <w:sz w:val="21"/>
          <w:szCs w:val="21"/>
          <w:lang w:val="en-US" w:eastAsia="zh-CN"/>
        </w:rPr>
        <w:t>涂一配电室及燃爆区域增加自动灭火装置</w:t>
      </w:r>
    </w:p>
    <w:p>
      <w:pPr>
        <w:jc w:val="left"/>
        <w:outlineLvl w:val="1"/>
        <w:rPr>
          <w:rFonts w:hint="eastAsia" w:ascii="宋体" w:hAnsi="宋体" w:cs="宋体"/>
          <w:b/>
          <w:bCs/>
          <w:sz w:val="21"/>
          <w:szCs w:val="21"/>
        </w:rPr>
      </w:pPr>
      <w:bookmarkStart w:id="124" w:name="_Toc21309"/>
      <w:bookmarkStart w:id="125" w:name="_Toc21264"/>
      <w:bookmarkStart w:id="126" w:name="_Toc16448"/>
      <w:bookmarkStart w:id="127" w:name="_Toc6779"/>
      <w:r>
        <w:rPr>
          <w:rFonts w:hint="eastAsia" w:ascii="宋体" w:hAnsi="宋体" w:cs="宋体"/>
          <w:b/>
          <w:bCs/>
          <w:sz w:val="21"/>
          <w:szCs w:val="21"/>
        </w:rPr>
        <w:t>二、项目内容</w:t>
      </w:r>
      <w:bookmarkEnd w:id="124"/>
      <w:bookmarkEnd w:id="125"/>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bookmarkStart w:id="128" w:name="_Toc31467"/>
      <w:bookmarkStart w:id="129" w:name="_Toc11681"/>
      <w:bookmarkStart w:id="130" w:name="_Toc27336"/>
      <w:r>
        <w:rPr>
          <w:rFonts w:hint="eastAsia" w:ascii="宋体" w:hAnsi="宋体" w:eastAsia="宋体" w:cs="Times New Roman"/>
          <w:szCs w:val="21"/>
          <w:lang w:val="en-US" w:eastAsia="zh-CN"/>
        </w:rPr>
        <w:t>1</w:t>
      </w:r>
      <w:r>
        <w:rPr>
          <w:rFonts w:hint="eastAsia" w:ascii="宋体" w:hAnsi="宋体" w:eastAsia="宋体" w:cs="Times New Roman"/>
          <w:szCs w:val="21"/>
        </w:rPr>
        <w:t>、项目的必要性及投入产出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济南商用车制造公司涂装一车间依据《建筑设计防火规范》GB50016-2014相关标准要求调漆间、车间配电室、VOC配电室、南北天然气控制室、电泳加料室、发电机室缺少泄压口；VOC配电室、电泳加料室、发电机室应设置气体灭火装系统，在发生电气火灾时及时有效控制及扑灭火灾；调漆间三个防爆风机与可燃气体探测器缺少联锁及室外开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2、项目实施方案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1）依据《建筑设计防火规范》GB50016-2014相关标准要求调漆间、车间配电室、VOC配电室、南北天然气控制室、电泳加料室、发电机室增加泄压口。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2）在VOC配电室、电泳加料室、发电机室采购符合国家标准和行业标准的柜式七氟丙烷气体自动灭火装置进行安装调试并与可燃气体探测器进行联锁，保证气体灭火系统有效灭火面积满足要求；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3）调漆间三个防爆风机增加与可燃气体探测器联锁及增加室外开关。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4）本项目为交钥匙工程，工期20天，本项目施工应按照现有国家标准和行业标准执行。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5）质保期：项目施工完成最终验收后12个月。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6）交货及最终验收地点：中国重汽集团济南商用车有限公司。</w:t>
      </w:r>
      <w:bookmarkEnd w:id="128"/>
      <w:bookmarkEnd w:id="129"/>
      <w:bookmarkEnd w:id="130"/>
      <w:bookmarkStart w:id="131" w:name="_Toc25117"/>
      <w:bookmarkStart w:id="132" w:name="_Toc24133"/>
      <w:bookmarkStart w:id="133" w:name="_Toc10251"/>
    </w:p>
    <w:p>
      <w:pPr>
        <w:jc w:val="left"/>
        <w:outlineLvl w:val="1"/>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三、项目安全技术标准</w:t>
      </w:r>
    </w:p>
    <w:p>
      <w:pPr>
        <w:numPr>
          <w:ilvl w:val="0"/>
          <w:numId w:val="0"/>
        </w:numPr>
        <w:spacing w:line="360" w:lineRule="auto"/>
        <w:ind w:leftChars="0" w:firstLine="420" w:firstLineChars="20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GB50370-2005 《气体灭火系统设计规范》</w:t>
      </w:r>
    </w:p>
    <w:p>
      <w:pPr>
        <w:numPr>
          <w:ilvl w:val="0"/>
          <w:numId w:val="0"/>
        </w:numPr>
        <w:spacing w:line="360" w:lineRule="auto"/>
        <w:ind w:leftChars="0" w:firstLine="420" w:firstLineChars="20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IS0/CD14520 《气体灭火系统-物理性能和系统设计》</w:t>
      </w:r>
    </w:p>
    <w:p>
      <w:pPr>
        <w:numPr>
          <w:ilvl w:val="0"/>
          <w:numId w:val="0"/>
        </w:numPr>
        <w:spacing w:line="360" w:lineRule="auto"/>
        <w:ind w:leftChars="0" w:firstLine="420" w:firstLineChars="200"/>
        <w:jc w:val="left"/>
        <w:rPr>
          <w:rFonts w:hint="default" w:ascii="宋体" w:hAnsi="宋体" w:eastAsia="宋体" w:cs="宋体"/>
          <w:b/>
          <w:bCs/>
          <w:sz w:val="21"/>
          <w:szCs w:val="21"/>
          <w:lang w:val="en-US" w:eastAsia="zh-CN"/>
        </w:rPr>
      </w:pPr>
      <w:r>
        <w:rPr>
          <w:rFonts w:hint="eastAsia" w:ascii="宋体" w:hAnsi="宋体" w:eastAsia="宋体" w:cs="Times New Roman"/>
          <w:kern w:val="2"/>
          <w:sz w:val="21"/>
          <w:szCs w:val="21"/>
          <w:lang w:val="en-US" w:eastAsia="zh-CN" w:bidi="ar-SA"/>
        </w:rPr>
        <w:t>GB50263-2007《气体灭火系统施工及验收规范》</w:t>
      </w:r>
    </w:p>
    <w:p>
      <w:pPr>
        <w:jc w:val="left"/>
        <w:outlineLvl w:val="1"/>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四、施工安全要求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1.施工现场安全要求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（1）外来施工人员进入工作场所前必须接受安全教育培训,不接受培训或者培训考试不合格不得进入施工场所。</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（2）现场施工前对施工区域进行安全隔离,并增加警示标识。</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所有的施工用具必须符合安全标准，施工人员进入施工区域要正确穿戴劳保用品，并指定专人负责监管安全施工作业，作业人员不得随意进入非施工区域场所，不得随意动用和触及现场生产设备和其它配套设施等，否则因此而引起的事故，乙方要负全部责任。</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（4）如在车间行走要走人行通道，注意观察周围环境，特别是经过吊装区要绕行或者等待吊物经过后在通行，还要注意现场叉车等。</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（5）施工期间不得饮酒后上岗，整个公司厂区内严禁吸烟，违者考核5000元。</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（6）作业人员应遵守相关方安全管理规定，一切施工作业必须按照甲方要求开展。</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（7）作业区域保持整洁，无阻碍作业的物品。工作完毕后，收放好工具清理工作场所。</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2.临时用电作业安全要求：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（1）在施工中需要铺设临时线路，需要有施工单位提出申请，并有项目负责人申请办理临时用电申请，并有车间电工负责接线， 其他人不得私自接线，临时线必须绝缘良好的橡皮胶线，无老化。所有线路不得超负荷使用。线路经过通道要增加防护或者架设。</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（2）使用手持切割机、磨光机时应穿绝缘鞋、佩戴防护面罩，作业前检查切割机、磨光机护罩是否完好无损，砂碟片要完好无破损。更换切割片时要使用专业工具，并且要切断电源。</w:t>
      </w:r>
    </w:p>
    <w:p>
      <w:pPr>
        <w:spacing w:line="240" w:lineRule="auto"/>
        <w:jc w:val="left"/>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3.登高施工作业安全要求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（1）从事高处作业的必须办理《高处作业证》，落实安全防护措施后方可施工。高处作业人员必须持证上岗，经安全教育，熟悉现场环境和施工安全要求。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（2）对从事高处作业人员的做以下要求，凡患有高血压、心脏病、贫血症、癫痫病、恐高症等不得从事高处作业</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（3）现场负责人、安全员，如发现高处作业施工人员不按规定作业时，要立即指出，责其改正;经指出仍不改者，有权停止其作业。高处作业应设监护人对高处作业人员进行监护，监护人应坚守岗位。</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（4）高处作业使用的安全带，各种部件不得任意拆除，有损坏的不得使用。安全带栓挂，要在垂直的上方无尖锐、锋利棱角的钩件上，不能低挂高用。不准用绳子代替，栓挂必须符合要求。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（5）所有登高人员必须持有登高作业特殊操作证，另外从事高处作业人员必须系好安全带、正确佩戴安全帽，安全带应正确使用应高挂抵用。安全帽使用时必须戴稳、系好下颌带。</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高处作业所用的工具、零件、材料等必须装入工具袋内。上下时手中不得拿物件;不准在高处投掷材料、工具。不得将易滑的工具、材料堆放在脚手架上防止落下伤人。各种不适宜登高的病症人员不准登高作业，酒后人员、年老体弱、加班疲劳、视力不佳人员也不准登高作业。</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（7）使用高空作业个人防护用品时，应进行检查，确保完好无损方可使用。且要求使用人员正确佩戴和使用。发现无证登高作业或劳保用品佩戴不全不规范的落实1000元/次考核，同时做停工处理。</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（8） 使用升降平台登高时应检查升降平台是否完好无故障，升降平台的支撑腿要全部打开并且不小于135度。</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（9）与高空作业同时进行的动火、动电作业等都必需要同时办理相关审批手续。</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（10） 检查所使用的工具是否安全牢靠，携带工具包，将所使用的工具、配件等物品放置工具包内。工具要摆放在平稳的位置，防止掉落。</w:t>
      </w:r>
    </w:p>
    <w:p>
      <w:pPr>
        <w:spacing w:line="240" w:lineRule="auto"/>
        <w:jc w:val="left"/>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4.焊接施工作业安全要求</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（1）动火作业人员应持证作业，在动火作业前应办理动火作业审批单，确认各项安全措施已落实才能动火。自带符合要求的灭火器。</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2）动火前应检查焊机、割炬是否符合安全标准。检查焊机线路是否有破损，接地线是否良好，割炬的气瓶是否固定，气瓶是否安装回火阀。氧气瓶与乙炔瓶是否保证五米以上安全距离，气瓶与火源之间是否保证10米以上安全距离。作业前应佩戴好劳保防护用品，检查周围是否存在易燃物，并有设有专人监护。</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金属焊接和切割作业人员工作前要穿戴好合适的劳动保护用品，如防尘面罩、焊接手套、焊接工作服；操作时要戴好护目镜或面罩；针对特殊作业，还可以佩带长管呼吸器，以防止烟尘危害。要防止弧光伤害，则要根据电流强度，选择不同型号的滤光镜片。穿上浅色帆布工作服，扎紧袖口，扣好领口，可减少其对皮肤的伤害。</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4）焊接作业前应仔细检查作业场所是否存在可燃气体、可燃物的存在，作业场所周围不得存放易燃易爆物品，动火前应对风道风箱内物质采样分析，合格后再进行工作；现场应有人监护，并有良好的通风设施和照明设施。</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（5）留意观察现场安全细节，在进行气焊或气割作业时，要仔细检查瓶阀、减压阀和胶管，不能有漏气现象；拧装和拆取阀门都要按操作规程来做。</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6）在电焊作业时，应注意电流过大、导线包皮破损会产生高温；接头处接触不良会引起火灾。因此作业前应仔细检查，对不良设备予以更换。另外，还应该注意在焊接、切割管道、设备时，热传导可能导致另一端易燃易爆物品着火甚至爆炸。作业前要仔细检查，对另一端的危险物品予以清除和防护。</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7）切割旧设备、废钢铁时，要注意清除其中夹杂的易燃易爆物品。在作业现场，要配备足够数量的灭火器材，并检查灭火器材的有效期限，保证其有效可用。焊接、切割作业结束后，要仔细检查现场，消除遗留下的火种，避免后患。</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（8）对触电类事故预防 电焊机外壳及不带电的金属构件一定要保护接地（或接零），绝缘电阻要足够大。接线柱要用罩盖好；焊把、焊钳及焊接电缆绝缘程度要好；同时带电体之间、带电体与其他物体之间都要保持距离；电焊机及电源线应放置在人体不易接触的地方。</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9）登高焊接时要注意登高防护，不能将作业用的电缆缠绕在身上或搭在肩上，电缆线应系在脚手架及其他设施上，以免踩到脚下，导致绝缘层破损。在移动、检修焊机更换保险丝、改变极性等操作时，必须切断电源开关才能进行。</w:t>
      </w:r>
    </w:p>
    <w:p>
      <w:pPr>
        <w:widowControl w:val="0"/>
        <w:adjustRightInd/>
        <w:snapToGrid/>
        <w:spacing w:after="0" w:line="360" w:lineRule="exac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（10）作业场所要有良好的通风设施，做好全面通风和局部通风；对存在职业危害的场所要佩戴防尘毒口罩，做好职业有害因素的健康防护。</w:t>
      </w:r>
    </w:p>
    <w:p>
      <w:pPr>
        <w:spacing w:line="240" w:lineRule="auto"/>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5.有限空间作业注意事项，</w:t>
      </w:r>
    </w:p>
    <w:p>
      <w:pPr>
        <w:spacing w:line="240" w:lineRule="auto"/>
        <w:ind w:firstLine="210" w:firstLineChars="100"/>
        <w:jc w:val="left"/>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进入有限空间作业必须办理有限空间审批证，作业前应先通风、再检测、再作业的原则，检测合格后佩戴好安全带、安全绳、防毒面具、通讯工具等才能进入，作业期间监护人不得离开，监护人要时刻跟作业人员进行联系，作业超过两个小时时要重新检测，未检测检测不合格不得作业。</w:t>
      </w:r>
    </w:p>
    <w:bookmarkEnd w:id="131"/>
    <w:bookmarkEnd w:id="132"/>
    <w:bookmarkEnd w:id="133"/>
    <w:p>
      <w:pPr>
        <w:sectPr>
          <w:pgSz w:w="11907" w:h="16840"/>
          <w:pgMar w:top="1304" w:right="1418" w:bottom="1304" w:left="1418" w:header="724" w:footer="851" w:gutter="0"/>
          <w:cols w:space="720" w:num="1"/>
          <w:docGrid w:linePitch="290" w:charSpace="-3931"/>
        </w:sectPr>
      </w:pPr>
    </w:p>
    <w:p/>
    <w:p>
      <w:pPr>
        <w:pStyle w:val="22"/>
      </w:pPr>
    </w:p>
    <w:p>
      <w:pPr>
        <w:spacing w:line="360" w:lineRule="auto"/>
        <w:jc w:val="center"/>
        <w:outlineLvl w:val="0"/>
        <w:rPr>
          <w:rFonts w:ascii="宋体" w:hAnsi="Calibri" w:eastAsia="宋体" w:cs="Times New Roman"/>
          <w:b/>
          <w:sz w:val="36"/>
          <w:szCs w:val="36"/>
        </w:rPr>
      </w:pPr>
      <w:bookmarkStart w:id="13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34"/>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35" w:name="_Toc15851"/>
      <w:bookmarkStart w:id="136" w:name="_Toc8509"/>
      <w:bookmarkStart w:id="137"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35"/>
      <w:bookmarkEnd w:id="136"/>
      <w:bookmarkEnd w:id="137"/>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品牌或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8666" w:type="dxa"/>
            <w:gridSpan w:val="7"/>
            <w:vAlign w:val="center"/>
          </w:tcPr>
          <w:p>
            <w:pPr>
              <w:jc w:val="left"/>
              <w:rPr>
                <w:rFonts w:hint="eastAsia" w:ascii="Arial"/>
              </w:rPr>
            </w:pPr>
            <w:r>
              <w:rPr>
                <w:rFonts w:hint="eastAsia" w:ascii="宋体" w:hAnsi="宋体" w:eastAsia="宋体" w:cs="宋体"/>
                <w:i w:val="0"/>
                <w:iCs w:val="0"/>
                <w:color w:val="000000"/>
                <w:kern w:val="0"/>
                <w:sz w:val="18"/>
                <w:szCs w:val="18"/>
                <w:u w:val="none"/>
                <w:lang w:val="en-US" w:eastAsia="zh-CN" w:bidi="ar"/>
              </w:rPr>
              <w:t>一、VOC配电室 12.75m*5.8m*4.15m=308m³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气体灭火控制器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TX3042D</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2</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启停按钮</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TX3157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3</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气体释放报警器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TX3317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4</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火灾声光报警器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TX3307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5</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点型光电感烟火灾探测器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JTY-GM-TX3100C</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4</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6</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点型感温火灾探测器(A2)</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JTW-ZDM-TX3110B</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4</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7</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放气指示灯</w:t>
            </w:r>
          </w:p>
        </w:tc>
        <w:tc>
          <w:tcPr>
            <w:tcW w:w="3150" w:type="dxa"/>
            <w:vAlign w:val="center"/>
          </w:tcPr>
          <w:p>
            <w:pPr>
              <w:snapToGrid w:val="0"/>
              <w:jc w:val="center"/>
              <w:rPr>
                <w:rFonts w:hint="eastAsia" w:ascii="宋体" w:hAnsi="宋体" w:eastAsia="宋体" w:cs="宋体"/>
                <w:color w:val="000000"/>
                <w:kern w:val="0"/>
                <w:sz w:val="20"/>
                <w:szCs w:val="20"/>
                <w:lang w:bidi="ar"/>
              </w:rPr>
            </w:pP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8</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输入模块</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TX3201</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9</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柜式七氟丙烷</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GQQ150/2.5</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七氟丙烷药剂</w:t>
            </w:r>
          </w:p>
        </w:tc>
        <w:tc>
          <w:tcPr>
            <w:tcW w:w="3150" w:type="dxa"/>
            <w:vAlign w:val="center"/>
          </w:tcPr>
          <w:p>
            <w:pPr>
              <w:keepNext w:val="0"/>
              <w:keepLines w:val="0"/>
              <w:widowControl/>
              <w:suppressLineNumbers w:val="0"/>
              <w:snapToGrid w:val="0"/>
              <w:jc w:val="center"/>
              <w:textAlignment w:val="top"/>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HFC-ea</w:t>
            </w:r>
          </w:p>
        </w:tc>
        <w:tc>
          <w:tcPr>
            <w:tcW w:w="630" w:type="dxa"/>
            <w:vAlign w:val="center"/>
          </w:tcPr>
          <w:p>
            <w:pPr>
              <w:keepNext w:val="0"/>
              <w:keepLines w:val="0"/>
              <w:widowControl/>
              <w:suppressLineNumbers w:val="0"/>
              <w:snapToGrid w:val="0"/>
              <w:jc w:val="center"/>
              <w:textAlignment w:val="top"/>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kg</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300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泄压口</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800*400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国标</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12</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信号线</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NH-RVS2*1.5红蓝</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13</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穿线钢管</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Φ15</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14</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防爆软管</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Φ15*400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根</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15</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666" w:type="dxa"/>
            <w:gridSpan w:val="7"/>
            <w:vAlign w:val="center"/>
          </w:tcPr>
          <w:p>
            <w:pPr>
              <w:jc w:val="left"/>
              <w:rPr>
                <w:rFonts w:hint="eastAsia" w:ascii="Arial"/>
              </w:rPr>
            </w:pPr>
            <w:r>
              <w:rPr>
                <w:rFonts w:hint="eastAsia" w:ascii="宋体" w:hAnsi="宋体" w:eastAsia="宋体" w:cs="宋体"/>
                <w:i w:val="0"/>
                <w:iCs w:val="0"/>
                <w:color w:val="000000"/>
                <w:kern w:val="0"/>
                <w:sz w:val="18"/>
                <w:szCs w:val="18"/>
                <w:u w:val="none"/>
                <w:lang w:val="en-US" w:eastAsia="zh-CN" w:bidi="ar"/>
              </w:rPr>
              <w:t>二、电泳加料室 7.4m*5.8m*4.9m=211m³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气体灭火控制器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TX3042D</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2</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启停按钮</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TX3157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3</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气体释放报警器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TX3317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4</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火灾声光报警器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TX3307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5</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点型光电感烟火灾探测器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JTY-GM-TX3100C</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4</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6</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点型感温火灾探测器(A2)</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JTW-ZDM-TX3110B</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4</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7</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放气指示灯</w:t>
            </w:r>
          </w:p>
        </w:tc>
        <w:tc>
          <w:tcPr>
            <w:tcW w:w="3150" w:type="dxa"/>
            <w:vAlign w:val="center"/>
          </w:tcPr>
          <w:p>
            <w:pPr>
              <w:snapToGrid w:val="0"/>
              <w:jc w:val="center"/>
              <w:rPr>
                <w:rFonts w:hint="eastAsia" w:ascii="宋体" w:hAnsi="宋体" w:eastAsia="宋体" w:cs="宋体"/>
                <w:color w:val="000000"/>
                <w:kern w:val="0"/>
                <w:sz w:val="20"/>
                <w:szCs w:val="20"/>
                <w:lang w:bidi="ar"/>
              </w:rPr>
            </w:pP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8</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输入模块</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TX3201</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9</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柜式七氟丙烷</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GQQ150/2.5</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rPr>
            </w:pPr>
            <w:r>
              <w:rPr>
                <w:rFonts w:hint="eastAsia" w:ascii="宋体" w:hAnsi="宋体" w:eastAsia="宋体" w:cs="宋体"/>
                <w:i w:val="0"/>
                <w:iCs w:val="0"/>
                <w:color w:val="000000"/>
                <w:kern w:val="0"/>
                <w:sz w:val="18"/>
                <w:szCs w:val="18"/>
                <w:u w:val="none"/>
                <w:lang w:val="en-US" w:eastAsia="zh-CN" w:bidi="ar"/>
              </w:rPr>
              <w:t>七氟丙烷药剂</w:t>
            </w:r>
          </w:p>
        </w:tc>
        <w:tc>
          <w:tcPr>
            <w:tcW w:w="3150" w:type="dxa"/>
            <w:vAlign w:val="center"/>
          </w:tcPr>
          <w:p>
            <w:pPr>
              <w:keepNext w:val="0"/>
              <w:keepLines w:val="0"/>
              <w:widowControl/>
              <w:suppressLineNumbers w:val="0"/>
              <w:snapToGrid w:val="0"/>
              <w:jc w:val="center"/>
              <w:textAlignment w:val="top"/>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HFC-ea</w:t>
            </w:r>
          </w:p>
        </w:tc>
        <w:tc>
          <w:tcPr>
            <w:tcW w:w="630" w:type="dxa"/>
            <w:vAlign w:val="center"/>
          </w:tcPr>
          <w:p>
            <w:pPr>
              <w:keepNext w:val="0"/>
              <w:keepLines w:val="0"/>
              <w:widowControl/>
              <w:suppressLineNumbers w:val="0"/>
              <w:snapToGrid w:val="0"/>
              <w:jc w:val="center"/>
              <w:textAlignment w:val="top"/>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kg</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300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rPr>
            </w:pPr>
            <w:r>
              <w:rPr>
                <w:rFonts w:hint="eastAsia" w:ascii="宋体" w:hAnsi="宋体" w:eastAsia="宋体" w:cs="宋体"/>
                <w:i w:val="0"/>
                <w:iCs w:val="0"/>
                <w:color w:val="000000"/>
                <w:kern w:val="0"/>
                <w:sz w:val="18"/>
                <w:szCs w:val="18"/>
                <w:u w:val="none"/>
                <w:lang w:val="en-US" w:eastAsia="zh-CN" w:bidi="ar"/>
              </w:rPr>
              <w:t>泄压口</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800*400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国标</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12</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rPr>
            </w:pPr>
            <w:r>
              <w:rPr>
                <w:rFonts w:hint="eastAsia" w:ascii="宋体" w:hAnsi="宋体" w:eastAsia="宋体" w:cs="宋体"/>
                <w:i w:val="0"/>
                <w:iCs w:val="0"/>
                <w:color w:val="000000"/>
                <w:kern w:val="0"/>
                <w:sz w:val="18"/>
                <w:szCs w:val="18"/>
                <w:u w:val="none"/>
                <w:lang w:val="en-US" w:eastAsia="zh-CN" w:bidi="ar"/>
              </w:rPr>
              <w:t>信号线</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sz w:val="18"/>
                <w:szCs w:val="18"/>
              </w:rPr>
            </w:pPr>
            <w:r>
              <w:rPr>
                <w:rFonts w:hint="eastAsia" w:ascii="宋体" w:hAnsi="宋体" w:eastAsia="宋体" w:cs="宋体"/>
                <w:i w:val="0"/>
                <w:iCs w:val="0"/>
                <w:color w:val="000000"/>
                <w:kern w:val="0"/>
                <w:sz w:val="18"/>
                <w:szCs w:val="18"/>
                <w:u w:val="none"/>
                <w:lang w:val="en-US" w:eastAsia="zh-CN" w:bidi="ar"/>
              </w:rPr>
              <w:t>NH-RVS2*1.5红蓝</w:t>
            </w:r>
          </w:p>
        </w:tc>
        <w:tc>
          <w:tcPr>
            <w:tcW w:w="630"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snapToGrid w:val="0"/>
              <w:jc w:val="center"/>
              <w:textAlignment w:val="center"/>
              <w:rPr>
                <w:rFonts w:hint="eastAsia" w:ascii="宋体" w:hAnsi="宋体" w:eastAsia="宋体"/>
                <w:szCs w:val="21"/>
              </w:rPr>
            </w:pPr>
            <w:r>
              <w:rPr>
                <w:rFonts w:hint="eastAsia" w:ascii="宋体" w:hAnsi="宋体" w:eastAsia="宋体" w:cs="宋体"/>
                <w:i w:val="0"/>
                <w:iCs w:val="0"/>
                <w:color w:val="000000"/>
                <w:kern w:val="0"/>
                <w:sz w:val="18"/>
                <w:szCs w:val="18"/>
                <w:u w:val="none"/>
                <w:lang w:val="en-US" w:eastAsia="zh-CN" w:bidi="ar"/>
              </w:rPr>
              <w:t>100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13</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穿线钢管</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Φ15</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14</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防爆软管</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Φ15*400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根</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15</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666" w:type="dxa"/>
            <w:gridSpan w:val="7"/>
            <w:vAlign w:val="center"/>
          </w:tcPr>
          <w:p>
            <w:pPr>
              <w:keepNext w:val="0"/>
              <w:keepLines w:val="0"/>
              <w:widowControl/>
              <w:suppressLineNumbers w:val="0"/>
              <w:snapToGrid w:val="0"/>
              <w:jc w:val="left"/>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三、发电机室 8m*5.8m*4.9m=228m³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气体灭火控制器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TX3042D</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2</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启停按钮</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TX3157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3</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气体释放报警器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TX3317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台</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4</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火灾声光报警器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TX3307</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5</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点型光电感烟火灾探测器</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JTY-GM-TX3100C</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4</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6</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点型感温火灾探测器(A2)</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JTW-ZDM-TX3110B</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4</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7</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放气指示灯</w:t>
            </w:r>
          </w:p>
        </w:tc>
        <w:tc>
          <w:tcPr>
            <w:tcW w:w="3150" w:type="dxa"/>
            <w:vAlign w:val="center"/>
          </w:tcPr>
          <w:p>
            <w:pPr>
              <w:snapToGrid w:val="0"/>
              <w:jc w:val="center"/>
              <w:rPr>
                <w:rFonts w:hint="eastAsia" w:ascii="宋体" w:hAnsi="宋体" w:eastAsia="宋体" w:cs="宋体"/>
                <w:color w:val="000000"/>
                <w:kern w:val="0"/>
                <w:sz w:val="20"/>
                <w:szCs w:val="20"/>
                <w:lang w:bidi="ar"/>
              </w:rPr>
            </w:pP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个</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8</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输入模块</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TX3201</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海湾</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9</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柜式七氟丙烷</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GQQ150/2.5</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10</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七氟丙烷药剂</w:t>
            </w:r>
          </w:p>
        </w:tc>
        <w:tc>
          <w:tcPr>
            <w:tcW w:w="3150" w:type="dxa"/>
            <w:vAlign w:val="center"/>
          </w:tcPr>
          <w:p>
            <w:pPr>
              <w:keepNext w:val="0"/>
              <w:keepLines w:val="0"/>
              <w:widowControl/>
              <w:suppressLineNumbers w:val="0"/>
              <w:snapToGrid w:val="0"/>
              <w:jc w:val="center"/>
              <w:textAlignment w:val="top"/>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HFC-ea</w:t>
            </w:r>
          </w:p>
        </w:tc>
        <w:tc>
          <w:tcPr>
            <w:tcW w:w="630" w:type="dxa"/>
            <w:vAlign w:val="center"/>
          </w:tcPr>
          <w:p>
            <w:pPr>
              <w:keepNext w:val="0"/>
              <w:keepLines w:val="0"/>
              <w:widowControl/>
              <w:suppressLineNumbers w:val="0"/>
              <w:snapToGrid w:val="0"/>
              <w:jc w:val="center"/>
              <w:textAlignment w:val="top"/>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kg</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300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泄压口</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800*400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2</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国标</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12</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信号线</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NH-RVS2*1.5红蓝</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13</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穿线钢管</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Φ15</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m</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100</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keepNext w:val="0"/>
              <w:keepLines w:val="0"/>
              <w:widowControl/>
              <w:suppressLineNumbers w:val="0"/>
              <w:snapToGrid w:val="0"/>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14</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防爆软管</w:t>
            </w:r>
          </w:p>
        </w:tc>
        <w:tc>
          <w:tcPr>
            <w:tcW w:w="315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Φ15*400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根</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15</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一线品牌</w:t>
            </w: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666" w:type="dxa"/>
            <w:gridSpan w:val="7"/>
            <w:vAlign w:val="center"/>
          </w:tcPr>
          <w:p>
            <w:pPr>
              <w:jc w:val="left"/>
              <w:rPr>
                <w:rFonts w:hint="eastAsia" w:ascii="Arial"/>
              </w:rPr>
            </w:pPr>
            <w:r>
              <w:rPr>
                <w:rFonts w:hint="eastAsia" w:ascii="宋体" w:hAnsi="宋体" w:eastAsia="宋体" w:cs="宋体"/>
                <w:i w:val="0"/>
                <w:iCs w:val="0"/>
                <w:color w:val="000000"/>
                <w:kern w:val="0"/>
                <w:sz w:val="18"/>
                <w:szCs w:val="18"/>
                <w:u w:val="none"/>
                <w:lang w:val="en-US" w:eastAsia="zh-CN" w:bidi="ar"/>
              </w:rPr>
              <w:t>四、调漆间、车间配电室、南北天然气控制室增加排气口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i w:val="0"/>
                <w:iCs w:val="0"/>
                <w:color w:val="000000"/>
                <w:kern w:val="0"/>
                <w:sz w:val="18"/>
                <w:szCs w:val="18"/>
                <w:u w:val="none"/>
                <w:lang w:val="en-US" w:eastAsia="zh-CN" w:bidi="ar"/>
              </w:rPr>
              <w:t>1</w:t>
            </w:r>
          </w:p>
        </w:tc>
        <w:tc>
          <w:tcPr>
            <w:tcW w:w="150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泄压口</w:t>
            </w:r>
          </w:p>
        </w:tc>
        <w:tc>
          <w:tcPr>
            <w:tcW w:w="3150" w:type="dxa"/>
            <w:vAlign w:val="center"/>
          </w:tcPr>
          <w:p>
            <w:pPr>
              <w:keepNext w:val="0"/>
              <w:keepLines w:val="0"/>
              <w:widowControl/>
              <w:suppressLineNumbers w:val="0"/>
              <w:snapToGrid w:val="0"/>
              <w:jc w:val="center"/>
              <w:textAlignment w:val="bottom"/>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800*400</w:t>
            </w:r>
          </w:p>
        </w:tc>
        <w:tc>
          <w:tcPr>
            <w:tcW w:w="630"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套</w:t>
            </w:r>
          </w:p>
        </w:tc>
        <w:tc>
          <w:tcPr>
            <w:tcW w:w="645" w:type="dxa"/>
            <w:vAlign w:val="center"/>
          </w:tcPr>
          <w:p>
            <w:pPr>
              <w:keepNext w:val="0"/>
              <w:keepLines w:val="0"/>
              <w:widowControl/>
              <w:suppressLineNumbers w:val="0"/>
              <w:snapToGrid w:val="0"/>
              <w:jc w:val="center"/>
              <w:textAlignment w:val="center"/>
              <w:rPr>
                <w:rFonts w:hint="eastAsia" w:ascii="宋体" w:hAnsi="宋体" w:eastAsia="宋体" w:cs="宋体"/>
                <w:color w:val="000000"/>
                <w:kern w:val="0"/>
                <w:sz w:val="20"/>
                <w:szCs w:val="20"/>
                <w:lang w:bidi="ar"/>
              </w:rPr>
            </w:pPr>
            <w:r>
              <w:rPr>
                <w:rFonts w:hint="eastAsia" w:ascii="宋体" w:hAnsi="宋体" w:eastAsia="宋体" w:cs="宋体"/>
                <w:i w:val="0"/>
                <w:iCs w:val="0"/>
                <w:color w:val="000000"/>
                <w:kern w:val="0"/>
                <w:sz w:val="18"/>
                <w:szCs w:val="18"/>
                <w:u w:val="none"/>
                <w:lang w:val="en-US" w:eastAsia="zh-CN" w:bidi="ar"/>
              </w:rPr>
              <w:t>3</w:t>
            </w:r>
          </w:p>
        </w:tc>
        <w:tc>
          <w:tcPr>
            <w:tcW w:w="1320" w:type="dxa"/>
            <w:tcBorders>
              <w:right w:val="single" w:color="000000" w:sz="4" w:space="0"/>
            </w:tcBorders>
            <w:vAlign w:val="center"/>
          </w:tcPr>
          <w:p>
            <w:pPr>
              <w:keepNext w:val="0"/>
              <w:keepLines w:val="0"/>
              <w:widowControl/>
              <w:suppressLineNumbers w:val="0"/>
              <w:snapToGrid w:val="0"/>
              <w:jc w:val="center"/>
              <w:textAlignment w:val="center"/>
              <w:rPr>
                <w:rFonts w:hint="eastAsia" w:ascii="Arial"/>
              </w:rPr>
            </w:pPr>
            <w:r>
              <w:rPr>
                <w:rFonts w:hint="eastAsia" w:ascii="宋体" w:hAnsi="宋体" w:eastAsia="宋体" w:cs="宋体"/>
                <w:i w:val="0"/>
                <w:iCs w:val="0"/>
                <w:color w:val="000000"/>
                <w:kern w:val="0"/>
                <w:sz w:val="18"/>
                <w:szCs w:val="18"/>
                <w:u w:val="none"/>
                <w:lang w:val="en-US" w:eastAsia="zh-CN" w:bidi="ar"/>
              </w:rPr>
              <w:t>国标</w:t>
            </w:r>
          </w:p>
        </w:tc>
        <w:tc>
          <w:tcPr>
            <w:tcW w:w="915" w:type="dxa"/>
            <w:vAlign w:val="top"/>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vAlign w:val="top"/>
          </w:tcPr>
          <w:p>
            <w:pPr>
              <w:jc w:val="left"/>
              <w:rPr>
                <w:rFonts w:hint="eastAsia" w:ascii="Arial"/>
              </w:rPr>
            </w:pPr>
          </w:p>
        </w:tc>
        <w:tc>
          <w:tcPr>
            <w:tcW w:w="915" w:type="dxa"/>
            <w:vAlign w:val="top"/>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vAlign w:val="top"/>
          </w:tcPr>
          <w:p>
            <w:pPr>
              <w:jc w:val="left"/>
              <w:rPr>
                <w:rFonts w:hint="eastAsia" w:ascii="Arial"/>
              </w:rPr>
            </w:pPr>
          </w:p>
        </w:tc>
        <w:tc>
          <w:tcPr>
            <w:tcW w:w="915" w:type="dxa"/>
            <w:vAlign w:val="top"/>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vAlign w:val="top"/>
          </w:tcPr>
          <w:p>
            <w:pPr>
              <w:jc w:val="left"/>
              <w:rPr>
                <w:rFonts w:hint="eastAsia" w:ascii="Arial"/>
              </w:rPr>
            </w:pPr>
          </w:p>
        </w:tc>
        <w:tc>
          <w:tcPr>
            <w:tcW w:w="915" w:type="dxa"/>
            <w:vAlign w:val="top"/>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vAlign w:val="top"/>
          </w:tcPr>
          <w:p>
            <w:pPr>
              <w:jc w:val="left"/>
              <w:rPr>
                <w:rFonts w:hint="eastAsia" w:ascii="Arial"/>
              </w:rPr>
            </w:pPr>
          </w:p>
        </w:tc>
        <w:tc>
          <w:tcPr>
            <w:tcW w:w="915" w:type="dxa"/>
            <w:vAlign w:val="top"/>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vAlign w:val="top"/>
          </w:tcPr>
          <w:p>
            <w:pPr>
              <w:jc w:val="left"/>
              <w:rPr>
                <w:rFonts w:hint="eastAsia" w:ascii="Arial"/>
              </w:rPr>
            </w:pPr>
          </w:p>
        </w:tc>
        <w:tc>
          <w:tcPr>
            <w:tcW w:w="915" w:type="dxa"/>
            <w:vAlign w:val="top"/>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宋体"/>
          <w:spacing w:val="-1"/>
          <w:szCs w:val="21"/>
        </w:rPr>
      </w:pPr>
      <w:r>
        <w:rPr>
          <w:rFonts w:ascii="宋体" w:hAnsi="宋体" w:eastAsia="宋体" w:cs="宋体"/>
          <w:spacing w:val="-1"/>
          <w:szCs w:val="21"/>
        </w:rPr>
        <w:t xml:space="preserve">                                                      </w:t>
      </w:r>
    </w:p>
    <w:tbl>
      <w:tblPr>
        <w:tblStyle w:val="41"/>
        <w:tblW w:w="104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32" w:type="dxa"/>
          <w:left w:w="64" w:type="dxa"/>
          <w:bottom w:w="32" w:type="dxa"/>
          <w:right w:w="64" w:type="dxa"/>
        </w:tblCellMar>
      </w:tblPr>
      <w:tblGrid>
        <w:gridCol w:w="630"/>
        <w:gridCol w:w="913"/>
        <w:gridCol w:w="2409"/>
        <w:gridCol w:w="1778"/>
        <w:gridCol w:w="1065"/>
        <w:gridCol w:w="634"/>
        <w:gridCol w:w="608"/>
        <w:gridCol w:w="661"/>
        <w:gridCol w:w="1148"/>
        <w:gridCol w:w="6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tblHeader/>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序号</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大类</w:t>
            </w:r>
          </w:p>
        </w:tc>
        <w:tc>
          <w:tcPr>
            <w:tcW w:w="2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名称</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规格型号/维修内容</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品牌</w:t>
            </w: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单位</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数量</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kern w:val="0"/>
                <w:sz w:val="18"/>
                <w:szCs w:val="18"/>
                <w:u w:val="none"/>
                <w:lang w:val="en-US" w:eastAsia="zh-CN" w:bidi="ar"/>
              </w:rPr>
            </w:pPr>
            <w:r>
              <w:rPr>
                <w:rFonts w:hint="eastAsia" w:ascii="宋体" w:hAnsi="宋体" w:eastAsia="宋体" w:cs="宋体"/>
                <w:b/>
                <w:i w:val="0"/>
                <w:iCs w:val="0"/>
                <w:color w:val="000000"/>
                <w:kern w:val="0"/>
                <w:sz w:val="18"/>
                <w:szCs w:val="18"/>
                <w:u w:val="none"/>
                <w:lang w:val="en-US" w:eastAsia="zh-CN" w:bidi="ar"/>
              </w:rPr>
              <w:t>单价</w:t>
            </w:r>
          </w:p>
          <w:p>
            <w:pPr>
              <w:keepNext w:val="0"/>
              <w:keepLines w:val="0"/>
              <w:widowControl/>
              <w:suppressLineNumbers w:val="0"/>
              <w:snapToGrid w:val="0"/>
              <w:jc w:val="center"/>
              <w:textAlignment w:val="center"/>
              <w:rPr>
                <w:rFonts w:hint="eastAsia" w:ascii="宋体" w:hAnsi="宋体" w:eastAsia="宋体" w:cs="宋体"/>
                <w:b/>
                <w:i w:val="0"/>
                <w:iCs w:val="0"/>
                <w:color w:val="000000"/>
                <w:kern w:val="0"/>
                <w:sz w:val="18"/>
                <w:szCs w:val="18"/>
                <w:u w:val="none"/>
                <w:lang w:val="en-US" w:eastAsia="zh-CN" w:bidi="ar"/>
              </w:rPr>
            </w:pPr>
            <w:r>
              <w:rPr>
                <w:rFonts w:hint="eastAsia" w:ascii="宋体" w:hAnsi="宋体" w:eastAsia="宋体" w:cs="宋体"/>
                <w:b/>
                <w:i w:val="0"/>
                <w:iCs w:val="0"/>
                <w:color w:val="000000"/>
                <w:kern w:val="0"/>
                <w:sz w:val="18"/>
                <w:szCs w:val="18"/>
                <w:u w:val="none"/>
                <w:lang w:val="en-US" w:eastAsia="zh-CN" w:bidi="ar"/>
              </w:rPr>
              <w:t>（元，未税）</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合计（元）</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b/>
                <w:i w:val="0"/>
                <w:iCs w:val="0"/>
                <w:color w:val="000000"/>
                <w:sz w:val="18"/>
                <w:szCs w:val="18"/>
                <w:u w:val="none"/>
              </w:rPr>
            </w:pPr>
            <w:r>
              <w:rPr>
                <w:rFonts w:hint="eastAsia" w:ascii="宋体" w:hAnsi="宋体" w:eastAsia="宋体" w:cs="宋体"/>
                <w:b/>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9846" w:type="dxa"/>
            <w:gridSpan w:val="9"/>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一、VOC配电室 12.75m*5.8m*4.15m=308m³</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材料/备件</w:t>
            </w: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气体灭火控制器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TX3042D</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启停按钮</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TX3157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气体释放报警器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TX3317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火灾声光报警器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TX3307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点型光电感烟火灾探测器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JTY-GM-TX3100C</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点型感温火灾探测器(A2)</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JTW-ZDM-TX3110B</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放气指示灯</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输入模块</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TX3201</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柜式七氟丙烷</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GQQ150/2.5</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七氟丙烷药剂</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HFC-ea</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泄压口</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信号线</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NH-RVS2*1.5红蓝</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穿线钢管</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防爆软管</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37"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二、电泳加料室 7.4m*5.8m*4.9m=211m³</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材料/备件</w:t>
            </w: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气体灭火控制器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TX3042D</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启停按钮</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TX3157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气体释放报警器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TX3317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火灾声光报警器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TX3307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点型光电感烟火灾探测器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JTY-GM-TX3100C</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点型感温火灾探测器(A2)</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JTW-ZDM-TX3110B</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放气指示灯</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输入模块</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TX3201</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柜式七氟丙烷</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GQQ100/2.5</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七氟丙烷药剂</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HFC-ea</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泄压口</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信号线</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NH-RVS2*1.5红蓝</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穿线钢管</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防爆软管</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429" w:type="dxa"/>
            <w:gridSpan w:val="6"/>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三、发电机室 8m*5.8m*4.9m=228m³</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材料/备件</w:t>
            </w: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气体灭火控制器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TX3042D</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启停按钮</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TX3157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气体释放报警器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TX3317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火灾声光报警器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TX3307</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点型光电感烟火灾探测器</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JTY-GM-TX3100C</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点型感温火灾探测器(A2)</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JTW-ZDM-TX3110B</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放气指示灯</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输入模块</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TX3201</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海湾</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柜式七氟丙烷</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GQQ100/2.5</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七氟丙烷药剂</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HFC-ea</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泄压口</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信号线</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NH-RVS2*1.5红蓝</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穿线钢管</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防爆软管</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Φ15*400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一线品牌</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37" w:type="dxa"/>
            <w:gridSpan w:val="7"/>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四、调漆间、车间配电室、南北天然气控制室增加排气口</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泄压口</w:t>
            </w:r>
          </w:p>
        </w:tc>
        <w:tc>
          <w:tcPr>
            <w:tcW w:w="17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800*400</w:t>
            </w:r>
          </w:p>
        </w:tc>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c>
          <w:tcPr>
            <w:tcW w:w="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299"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w:t>
            </w:r>
          </w:p>
        </w:tc>
        <w:tc>
          <w:tcPr>
            <w:tcW w:w="9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安装调试费</w:t>
            </w:r>
          </w:p>
        </w:tc>
        <w:tc>
          <w:tcPr>
            <w:tcW w:w="8911" w:type="dxa"/>
            <w:gridSpan w:val="8"/>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设备安装调试费用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灭火控制系统安装工费</w:t>
            </w:r>
          </w:p>
        </w:tc>
        <w:tc>
          <w:tcPr>
            <w:tcW w:w="17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10人*9天</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个工日</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灭火柜安装、调试工费</w:t>
            </w:r>
          </w:p>
        </w:tc>
        <w:tc>
          <w:tcPr>
            <w:tcW w:w="17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10人*6天</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个工日</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自动泄压口开洞口、安装、调试工费</w:t>
            </w:r>
          </w:p>
        </w:tc>
        <w:tc>
          <w:tcPr>
            <w:tcW w:w="17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6人*3天</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个工日</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电气线路敷设工费</w:t>
            </w:r>
          </w:p>
        </w:tc>
        <w:tc>
          <w:tcPr>
            <w:tcW w:w="17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7人*6天</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个工日</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913" w:type="dxa"/>
            <w:vMerge w:val="continue"/>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宋体" w:hAnsi="宋体" w:eastAsia="宋体" w:cs="宋体"/>
                <w:i w:val="0"/>
                <w:iCs w:val="0"/>
                <w:color w:val="000000"/>
                <w:sz w:val="18"/>
                <w:szCs w:val="18"/>
                <w:u w:val="none"/>
              </w:rPr>
            </w:pPr>
          </w:p>
        </w:tc>
        <w:tc>
          <w:tcPr>
            <w:tcW w:w="240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整体系统调试工费</w:t>
            </w:r>
          </w:p>
        </w:tc>
        <w:tc>
          <w:tcPr>
            <w:tcW w:w="17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5人*3天</w:t>
            </w:r>
          </w:p>
        </w:tc>
        <w:tc>
          <w:tcPr>
            <w:tcW w:w="1065"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个工日</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材料运费</w:t>
            </w:r>
          </w:p>
        </w:tc>
        <w:tc>
          <w:tcPr>
            <w:tcW w:w="2409"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177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1065"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c>
          <w:tcPr>
            <w:tcW w:w="6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车次</w:t>
            </w:r>
          </w:p>
        </w:tc>
        <w:tc>
          <w:tcPr>
            <w:tcW w:w="6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right"/>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715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未税小计：</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利润</w:t>
            </w:r>
          </w:p>
        </w:tc>
        <w:tc>
          <w:tcPr>
            <w:tcW w:w="715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企业管理费、质保期间维保费、利润：（合计10%）</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715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未税合计：</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税费</w:t>
            </w:r>
          </w:p>
        </w:tc>
        <w:tc>
          <w:tcPr>
            <w:tcW w:w="715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税率13%</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3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十一、</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7155"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含税总价</w:t>
            </w:r>
          </w:p>
        </w:tc>
        <w:tc>
          <w:tcPr>
            <w:tcW w:w="11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p>
        </w:tc>
        <w:tc>
          <w:tcPr>
            <w:tcW w:w="608" w:type="dxa"/>
            <w:tcBorders>
              <w:top w:val="single" w:color="000000" w:sz="4" w:space="0"/>
              <w:left w:val="single" w:color="000000" w:sz="4" w:space="0"/>
              <w:bottom w:val="single" w:color="000000" w:sz="4" w:space="0"/>
              <w:right w:val="single" w:color="000000" w:sz="4" w:space="0"/>
            </w:tcBorders>
            <w:noWrap/>
            <w:vAlign w:val="center"/>
          </w:tcPr>
          <w:p>
            <w:pPr>
              <w:snapToGrid w:val="0"/>
              <w:jc w:val="center"/>
              <w:rPr>
                <w:rFonts w:hint="eastAsia" w:ascii="宋体" w:hAnsi="宋体" w:eastAsia="宋体" w:cs="宋体"/>
                <w:i w:val="0"/>
                <w:iCs w:val="0"/>
                <w:color w:val="000000"/>
                <w:sz w:val="18"/>
                <w:szCs w:val="18"/>
                <w:u w:val="none"/>
              </w:rPr>
            </w:pPr>
          </w:p>
        </w:tc>
      </w:tr>
    </w:tbl>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7"/>
  </w:num>
  <w:num w:numId="3">
    <w:abstractNumId w:val="8"/>
  </w:num>
  <w:num w:numId="4">
    <w:abstractNumId w:val="3"/>
  </w:num>
  <w:num w:numId="5">
    <w:abstractNumId w:val="2"/>
  </w:num>
  <w:num w:numId="6">
    <w:abstractNumId w:val="5"/>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1F0B28"/>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1E8"/>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3819AC"/>
    <w:rsid w:val="104B7348"/>
    <w:rsid w:val="106E6B14"/>
    <w:rsid w:val="108A1D4B"/>
    <w:rsid w:val="10A10111"/>
    <w:rsid w:val="10AA31D3"/>
    <w:rsid w:val="10BE093E"/>
    <w:rsid w:val="10EC27C5"/>
    <w:rsid w:val="110F6D60"/>
    <w:rsid w:val="111B0FE9"/>
    <w:rsid w:val="115850F3"/>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302BC"/>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11E98"/>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B4DDF"/>
    <w:rsid w:val="246E4D46"/>
    <w:rsid w:val="247E4FED"/>
    <w:rsid w:val="248E36A5"/>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F53F8C"/>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3A584E"/>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602A1"/>
    <w:rsid w:val="3FDB6617"/>
    <w:rsid w:val="3FEC147E"/>
    <w:rsid w:val="40036A74"/>
    <w:rsid w:val="4003755E"/>
    <w:rsid w:val="400D1324"/>
    <w:rsid w:val="401B03DB"/>
    <w:rsid w:val="4024153A"/>
    <w:rsid w:val="402853D1"/>
    <w:rsid w:val="403703F1"/>
    <w:rsid w:val="40376375"/>
    <w:rsid w:val="404A563B"/>
    <w:rsid w:val="405119BA"/>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6925B7"/>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9E1260"/>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55E16"/>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61148"/>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430D7"/>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2D3C43"/>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976216"/>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AA6D1A"/>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2A29"/>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711EA5"/>
    <w:rsid w:val="788A2AAC"/>
    <w:rsid w:val="78936F61"/>
    <w:rsid w:val="78CD6DCC"/>
    <w:rsid w:val="78D07CAF"/>
    <w:rsid w:val="78DE12D7"/>
    <w:rsid w:val="78FC2038"/>
    <w:rsid w:val="78FC33D7"/>
    <w:rsid w:val="79183D69"/>
    <w:rsid w:val="79210683"/>
    <w:rsid w:val="79951709"/>
    <w:rsid w:val="799C3465"/>
    <w:rsid w:val="79B14EC4"/>
    <w:rsid w:val="79B23B36"/>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01EA8"/>
    <w:rsid w:val="7F5460D4"/>
    <w:rsid w:val="7F552892"/>
    <w:rsid w:val="7F6A0F42"/>
    <w:rsid w:val="7F8477C4"/>
    <w:rsid w:val="7F8A5E48"/>
    <w:rsid w:val="7FF762D7"/>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63</Pages>
  <Words>9726</Words>
  <Characters>10320</Characters>
  <Lines>371</Lines>
  <Paragraphs>104</Paragraphs>
  <TotalTime>2</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2025-11-03T00:58:14Z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